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610" w:type="dxa"/>
        <w:jc w:val="center"/>
        <w:tblCellSpacing w:w="0" w:type="dxa"/>
        <w:tblCellMar>
          <w:left w:w="0" w:type="dxa"/>
          <w:right w:w="0" w:type="dxa"/>
        </w:tblCellMar>
        <w:tblLook w:val="04A0" w:firstRow="1" w:lastRow="0" w:firstColumn="1" w:lastColumn="0" w:noHBand="0" w:noVBand="1"/>
      </w:tblPr>
      <w:tblGrid>
        <w:gridCol w:w="11610"/>
      </w:tblGrid>
      <w:tr w:rsidR="0098785B" w14:paraId="3A9D5C62" w14:textId="77777777" w:rsidTr="0098785B">
        <w:trPr>
          <w:tblCellSpacing w:w="0" w:type="dxa"/>
          <w:jc w:val="center"/>
        </w:trPr>
        <w:tc>
          <w:tcPr>
            <w:tcW w:w="9270" w:type="dxa"/>
            <w:shd w:val="clear" w:color="auto" w:fill="FFFFFF"/>
          </w:tcPr>
          <w:p w14:paraId="5826272C" w14:textId="77777777" w:rsidR="0098785B" w:rsidRDefault="0098785B">
            <w:pPr>
              <w:jc w:val="both"/>
            </w:pPr>
          </w:p>
          <w:tbl>
            <w:tblPr>
              <w:tblpPr w:leftFromText="45" w:rightFromText="45" w:vertAnchor="text"/>
              <w:tblW w:w="5000" w:type="pct"/>
              <w:tblCellSpacing w:w="0" w:type="dxa"/>
              <w:tblCellMar>
                <w:left w:w="0" w:type="dxa"/>
                <w:right w:w="0" w:type="dxa"/>
              </w:tblCellMar>
              <w:tblLook w:val="04A0" w:firstRow="1" w:lastRow="0" w:firstColumn="1" w:lastColumn="0" w:noHBand="0" w:noVBand="1"/>
            </w:tblPr>
            <w:tblGrid>
              <w:gridCol w:w="11610"/>
            </w:tblGrid>
            <w:tr w:rsidR="0098785B" w14:paraId="0FE6EF6E" w14:textId="77777777">
              <w:trPr>
                <w:tblCellSpacing w:w="0" w:type="dxa"/>
              </w:trPr>
              <w:tc>
                <w:tcPr>
                  <w:tcW w:w="0" w:type="auto"/>
                  <w:shd w:val="clear" w:color="auto" w:fill="FFFFFF"/>
                  <w:vAlign w:val="center"/>
                </w:tcPr>
                <w:p w14:paraId="4AB9A9B6" w14:textId="77777777" w:rsidR="0098785B" w:rsidRDefault="0098785B"/>
                <w:tbl>
                  <w:tblPr>
                    <w:tblpPr w:leftFromText="45" w:rightFromText="45" w:vertAnchor="text"/>
                    <w:tblW w:w="5000" w:type="pct"/>
                    <w:tblCellSpacing w:w="37" w:type="dxa"/>
                    <w:tblCellMar>
                      <w:left w:w="0" w:type="dxa"/>
                      <w:right w:w="0" w:type="dxa"/>
                    </w:tblCellMar>
                    <w:tblLook w:val="04A0" w:firstRow="1" w:lastRow="0" w:firstColumn="1" w:lastColumn="0" w:noHBand="0" w:noVBand="1"/>
                  </w:tblPr>
                  <w:tblGrid>
                    <w:gridCol w:w="11610"/>
                  </w:tblGrid>
                  <w:tr w:rsidR="0098785B" w14:paraId="42149ABC" w14:textId="77777777">
                    <w:trPr>
                      <w:tblCellSpacing w:w="37" w:type="dxa"/>
                    </w:trPr>
                    <w:tc>
                      <w:tcPr>
                        <w:tcW w:w="0" w:type="auto"/>
                        <w:shd w:val="clear" w:color="auto" w:fill="FFFFFF"/>
                        <w:vAlign w:val="center"/>
                        <w:hideMark/>
                      </w:tcPr>
                      <w:p w14:paraId="4FB08614" w14:textId="77777777" w:rsidR="0098785B" w:rsidRDefault="0098785B">
                        <w:pPr>
                          <w:jc w:val="both"/>
                          <w:rPr>
                            <w:rFonts w:ascii="Times New Roman" w:hAnsi="Times New Roman"/>
                            <w:b/>
                            <w:bCs/>
                            <w:smallCaps/>
                            <w:color w:val="000000"/>
                            <w:sz w:val="28"/>
                            <w:szCs w:val="28"/>
                            <w:u w:val="single"/>
                          </w:rPr>
                        </w:pPr>
                        <w:r>
                          <w:rPr>
                            <w:rFonts w:ascii="Times New Roman" w:hAnsi="Times New Roman"/>
                            <w:b/>
                            <w:bCs/>
                            <w:smallCaps/>
                            <w:color w:val="000000"/>
                            <w:sz w:val="28"/>
                            <w:szCs w:val="28"/>
                            <w:u w:val="single"/>
                          </w:rPr>
                          <w:t>How to Prevent Grant Proposals from Barring Patent Protection</w:t>
                        </w:r>
                      </w:p>
                    </w:tc>
                  </w:tr>
                </w:tbl>
                <w:p w14:paraId="2B810699" w14:textId="77777777" w:rsidR="0098785B" w:rsidRDefault="0098785B"/>
              </w:tc>
            </w:tr>
            <w:tr w:rsidR="0098785B" w14:paraId="58A248A8" w14:textId="77777777">
              <w:trPr>
                <w:tblCellSpacing w:w="0" w:type="dxa"/>
              </w:trPr>
              <w:tc>
                <w:tcPr>
                  <w:tcW w:w="0" w:type="auto"/>
                  <w:shd w:val="clear" w:color="auto" w:fill="FFFFFF"/>
                  <w:vAlign w:val="center"/>
                  <w:hideMark/>
                </w:tcPr>
                <w:tbl>
                  <w:tblPr>
                    <w:tblpPr w:leftFromText="45" w:rightFromText="45" w:vertAnchor="text"/>
                    <w:tblW w:w="5000" w:type="pct"/>
                    <w:tblCellSpacing w:w="30" w:type="dxa"/>
                    <w:tblCellMar>
                      <w:top w:w="60" w:type="dxa"/>
                      <w:left w:w="60" w:type="dxa"/>
                      <w:bottom w:w="60" w:type="dxa"/>
                      <w:right w:w="60" w:type="dxa"/>
                    </w:tblCellMar>
                    <w:tblLook w:val="04A0" w:firstRow="1" w:lastRow="0" w:firstColumn="1" w:lastColumn="0" w:noHBand="0" w:noVBand="1"/>
                  </w:tblPr>
                  <w:tblGrid>
                    <w:gridCol w:w="11610"/>
                  </w:tblGrid>
                  <w:tr w:rsidR="0098785B" w14:paraId="25C6567B" w14:textId="77777777">
                    <w:trPr>
                      <w:tblCellSpacing w:w="30" w:type="dxa"/>
                    </w:trPr>
                    <w:tc>
                      <w:tcPr>
                        <w:tcW w:w="0" w:type="auto"/>
                        <w:shd w:val="clear" w:color="auto" w:fill="FFFFFF"/>
                        <w:hideMark/>
                      </w:tcPr>
                      <w:p w14:paraId="297C0C41" w14:textId="77777777" w:rsidR="0098785B" w:rsidRDefault="0098785B">
                        <w:pPr>
                          <w:jc w:val="both"/>
                          <w:rPr>
                            <w:rFonts w:ascii="Times New Roman" w:hAnsi="Times New Roman"/>
                            <w:color w:val="000000"/>
                            <w:sz w:val="28"/>
                            <w:szCs w:val="28"/>
                          </w:rPr>
                        </w:pPr>
                        <w:r>
                          <w:rPr>
                            <w:rFonts w:ascii="Times New Roman" w:hAnsi="Times New Roman"/>
                            <w:color w:val="000000"/>
                            <w:sz w:val="28"/>
                            <w:szCs w:val="28"/>
                          </w:rPr>
                          <w:br/>
                          <w:t xml:space="preserve">Grant proposals are the </w:t>
                        </w:r>
                        <w:proofErr w:type="gramStart"/>
                        <w:r>
                          <w:rPr>
                            <w:rFonts w:ascii="Times New Roman" w:hAnsi="Times New Roman"/>
                            <w:color w:val="000000"/>
                            <w:sz w:val="28"/>
                            <w:szCs w:val="28"/>
                          </w:rPr>
                          <w:t>life-blood</w:t>
                        </w:r>
                        <w:proofErr w:type="gramEnd"/>
                        <w:r>
                          <w:rPr>
                            <w:rFonts w:ascii="Times New Roman" w:hAnsi="Times New Roman"/>
                            <w:color w:val="000000"/>
                            <w:sz w:val="28"/>
                            <w:szCs w:val="28"/>
                          </w:rPr>
                          <w:t xml:space="preserve"> of the University's research laboratories. However, faculty should be aware that an invention is not patentable in the US if it has been described in a printed publication more than 1 year prior to filing a U.S. patent application and foreign filing rights are lost immediately. In </w:t>
                        </w:r>
                        <w:hyperlink r:id="rId4" w:tgtFrame="new" w:history="1">
                          <w:r>
                            <w:rPr>
                              <w:rStyle w:val="Hyperlink"/>
                              <w:rFonts w:ascii="Times New Roman" w:hAnsi="Times New Roman"/>
                              <w:b/>
                              <w:bCs/>
                              <w:i/>
                              <w:iCs/>
                              <w:color w:val="FC1921"/>
                              <w:sz w:val="28"/>
                              <w:szCs w:val="28"/>
                              <w:u w:val="none"/>
                            </w:rPr>
                            <w:t>DuPont v. Cetus</w:t>
                          </w:r>
                        </w:hyperlink>
                        <w:r>
                          <w:rPr>
                            <w:rFonts w:ascii="Times New Roman" w:hAnsi="Times New Roman"/>
                            <w:color w:val="000000"/>
                            <w:sz w:val="28"/>
                            <w:szCs w:val="28"/>
                          </w:rPr>
                          <w:t xml:space="preserve">, a federal court held that an NSF grant proposal constituted a publication because it was sufficiently accessible to interested persons. The grant was considered accessible because it had been indexed and could be obtained through a request under the Freedom of Information Act (FOIA). Since it was indexed more than one year prior to filing a patent application, it constituted a patent bar. </w:t>
                        </w:r>
                      </w:p>
                      <w:p w14:paraId="16EEE36C" w14:textId="77777777" w:rsidR="0098785B" w:rsidRDefault="0098785B">
                        <w:pPr>
                          <w:spacing w:before="100" w:beforeAutospacing="1" w:after="100" w:afterAutospacing="1"/>
                          <w:jc w:val="both"/>
                          <w:rPr>
                            <w:rFonts w:ascii="Times New Roman" w:hAnsi="Times New Roman"/>
                            <w:color w:val="000000"/>
                            <w:sz w:val="28"/>
                            <w:szCs w:val="28"/>
                          </w:rPr>
                        </w:pPr>
                        <w:r>
                          <w:rPr>
                            <w:rFonts w:ascii="Times New Roman" w:hAnsi="Times New Roman"/>
                            <w:color w:val="000000"/>
                            <w:sz w:val="28"/>
                            <w:szCs w:val="28"/>
                          </w:rPr>
                          <w:t xml:space="preserve">It would therefore be possible for a research scientist, with a long-term grant, to propose a course of research and speculate on findings. Then, when the studies are concluded, this same scientist could find that the technology developed </w:t>
                        </w:r>
                        <w:proofErr w:type="gramStart"/>
                        <w:r>
                          <w:rPr>
                            <w:rFonts w:ascii="Times New Roman" w:hAnsi="Times New Roman"/>
                            <w:color w:val="000000"/>
                            <w:sz w:val="28"/>
                            <w:szCs w:val="28"/>
                          </w:rPr>
                          <w:t>during the course of</w:t>
                        </w:r>
                        <w:proofErr w:type="gramEnd"/>
                        <w:r>
                          <w:rPr>
                            <w:rFonts w:ascii="Times New Roman" w:hAnsi="Times New Roman"/>
                            <w:color w:val="000000"/>
                            <w:sz w:val="28"/>
                            <w:szCs w:val="28"/>
                          </w:rPr>
                          <w:t xml:space="preserve"> the research is barred from patent protection by the researcher's own proposal. </w:t>
                        </w:r>
                      </w:p>
                      <w:p w14:paraId="6597567C" w14:textId="77777777" w:rsidR="0098785B" w:rsidRDefault="0098785B">
                        <w:pPr>
                          <w:spacing w:before="100" w:beforeAutospacing="1" w:after="100" w:afterAutospacing="1"/>
                          <w:jc w:val="both"/>
                          <w:rPr>
                            <w:rFonts w:ascii="Times New Roman" w:hAnsi="Times New Roman"/>
                            <w:color w:val="000000"/>
                            <w:sz w:val="28"/>
                            <w:szCs w:val="28"/>
                          </w:rPr>
                        </w:pPr>
                        <w:r>
                          <w:rPr>
                            <w:rFonts w:ascii="Times New Roman" w:hAnsi="Times New Roman"/>
                            <w:color w:val="000000"/>
                            <w:sz w:val="28"/>
                            <w:szCs w:val="28"/>
                          </w:rPr>
                          <w:t xml:space="preserve">To prevent a bar, and to comply with the regulations and exceptions of the FOIA, each individual page should be marked "Confidential" and a legend affixed to the front page that states "Confidential. This document, or portions of it, contains confidential information that is, or may become, the subject of a United States patent application and is important to future commercial efforts based on such confidential information. Accordingly, this document and the confidential information contained herein are exempt from disclosure under the Freedom of Information Act, Sections 552(b)(3) and (b)(4) of Title 5 of the United States Code and corresponding regulations of United States government agencies." </w:t>
                        </w:r>
                      </w:p>
                      <w:p w14:paraId="79DDD259" w14:textId="77777777" w:rsidR="0098785B" w:rsidRDefault="0098785B">
                        <w:pPr>
                          <w:spacing w:before="100" w:beforeAutospacing="1" w:after="240"/>
                          <w:jc w:val="both"/>
                          <w:rPr>
                            <w:rFonts w:ascii="Times New Roman" w:hAnsi="Times New Roman"/>
                            <w:color w:val="000000"/>
                            <w:sz w:val="28"/>
                            <w:szCs w:val="28"/>
                          </w:rPr>
                        </w:pPr>
                        <w:r>
                          <w:rPr>
                            <w:rFonts w:ascii="Times New Roman" w:hAnsi="Times New Roman"/>
                            <w:color w:val="000000"/>
                            <w:sz w:val="28"/>
                            <w:szCs w:val="28"/>
                          </w:rPr>
                          <w:t xml:space="preserve">In addition, a cover letter should accompany each grant proposal submitted to an agency of the federal government. The letter should provide a rationale for keeping the proposal confidential and request that the University be notified of all requests the agency receives for copies of the proposal under the FOIA. As an example, the cover letter should state: </w:t>
                        </w:r>
                      </w:p>
                      <w:p w14:paraId="4DDB9179" w14:textId="77777777" w:rsidR="0098785B" w:rsidRDefault="0098785B">
                        <w:pPr>
                          <w:jc w:val="both"/>
                          <w:rPr>
                            <w:rFonts w:ascii="Times New Roman" w:hAnsi="Times New Roman"/>
                            <w:color w:val="000000"/>
                            <w:sz w:val="28"/>
                            <w:szCs w:val="28"/>
                          </w:rPr>
                        </w:pPr>
                      </w:p>
                      <w:p w14:paraId="7B68B395" w14:textId="77777777" w:rsidR="0098785B" w:rsidRDefault="0098785B">
                        <w:pPr>
                          <w:jc w:val="both"/>
                          <w:rPr>
                            <w:rFonts w:ascii="Times New Roman" w:hAnsi="Times New Roman"/>
                            <w:color w:val="000000"/>
                            <w:sz w:val="28"/>
                            <w:szCs w:val="28"/>
                          </w:rPr>
                        </w:pPr>
                      </w:p>
                      <w:p w14:paraId="7ABE5928" w14:textId="77777777" w:rsidR="0098785B" w:rsidRDefault="0098785B">
                        <w:pPr>
                          <w:jc w:val="both"/>
                          <w:rPr>
                            <w:rFonts w:ascii="Times New Roman" w:hAnsi="Times New Roman"/>
                            <w:color w:val="000000"/>
                            <w:sz w:val="28"/>
                            <w:szCs w:val="28"/>
                          </w:rPr>
                        </w:pPr>
                      </w:p>
                      <w:p w14:paraId="736F4173" w14:textId="77777777" w:rsidR="0098785B" w:rsidRDefault="0098785B">
                        <w:pPr>
                          <w:jc w:val="both"/>
                          <w:rPr>
                            <w:rFonts w:ascii="Times New Roman" w:hAnsi="Times New Roman"/>
                            <w:color w:val="000000"/>
                            <w:sz w:val="28"/>
                            <w:szCs w:val="28"/>
                          </w:rPr>
                        </w:pPr>
                      </w:p>
                      <w:p w14:paraId="0E2EC49A" w14:textId="77777777" w:rsidR="0098785B" w:rsidRDefault="0098785B">
                        <w:pPr>
                          <w:jc w:val="both"/>
                          <w:rPr>
                            <w:rFonts w:ascii="Times New Roman" w:hAnsi="Times New Roman"/>
                            <w:color w:val="000000"/>
                            <w:sz w:val="28"/>
                            <w:szCs w:val="28"/>
                          </w:rPr>
                        </w:pPr>
                      </w:p>
                      <w:p w14:paraId="33390A1C" w14:textId="77777777" w:rsidR="0098785B" w:rsidRDefault="0098785B">
                        <w:pPr>
                          <w:jc w:val="both"/>
                          <w:rPr>
                            <w:rFonts w:ascii="Times New Roman" w:hAnsi="Times New Roman"/>
                            <w:color w:val="000000"/>
                            <w:sz w:val="28"/>
                            <w:szCs w:val="28"/>
                          </w:rPr>
                        </w:pPr>
                      </w:p>
                      <w:p w14:paraId="2E45968F" w14:textId="77777777" w:rsidR="0098785B" w:rsidRDefault="0098785B">
                        <w:pPr>
                          <w:jc w:val="both"/>
                          <w:rPr>
                            <w:rFonts w:ascii="Times New Roman" w:hAnsi="Times New Roman"/>
                            <w:color w:val="000000"/>
                            <w:sz w:val="28"/>
                            <w:szCs w:val="28"/>
                          </w:rPr>
                        </w:pPr>
                      </w:p>
                      <w:p w14:paraId="3EADC33E" w14:textId="77777777" w:rsidR="0098785B" w:rsidRDefault="0098785B">
                        <w:pPr>
                          <w:jc w:val="both"/>
                          <w:rPr>
                            <w:rFonts w:ascii="Times New Roman" w:hAnsi="Times New Roman"/>
                            <w:color w:val="000000"/>
                            <w:sz w:val="28"/>
                            <w:szCs w:val="28"/>
                          </w:rPr>
                        </w:pPr>
                      </w:p>
                      <w:p w14:paraId="2B27EC74" w14:textId="77777777" w:rsidR="0098785B" w:rsidRPr="0098785B" w:rsidRDefault="0098785B">
                        <w:pPr>
                          <w:jc w:val="both"/>
                          <w:rPr>
                            <w:rFonts w:ascii="Times New Roman" w:hAnsi="Times New Roman"/>
                            <w:i/>
                            <w:color w:val="000000"/>
                            <w:sz w:val="28"/>
                            <w:szCs w:val="28"/>
                          </w:rPr>
                        </w:pPr>
                        <w:r w:rsidRPr="0098785B">
                          <w:rPr>
                            <w:rFonts w:ascii="Times New Roman" w:hAnsi="Times New Roman"/>
                            <w:i/>
                            <w:color w:val="000000"/>
                            <w:sz w:val="28"/>
                            <w:szCs w:val="28"/>
                          </w:rPr>
                          <w:lastRenderedPageBreak/>
                          <w:t xml:space="preserve">Dear ____________, </w:t>
                        </w:r>
                      </w:p>
                      <w:p w14:paraId="35A6EA32" w14:textId="77777777" w:rsidR="0098785B" w:rsidRPr="0098785B" w:rsidRDefault="0098785B">
                        <w:pPr>
                          <w:spacing w:before="100" w:beforeAutospacing="1" w:after="100" w:afterAutospacing="1"/>
                          <w:jc w:val="both"/>
                          <w:rPr>
                            <w:rFonts w:ascii="Times New Roman" w:hAnsi="Times New Roman"/>
                            <w:i/>
                            <w:color w:val="000000"/>
                            <w:sz w:val="28"/>
                            <w:szCs w:val="28"/>
                          </w:rPr>
                        </w:pPr>
                        <w:r w:rsidRPr="0098785B">
                          <w:rPr>
                            <w:rFonts w:ascii="Times New Roman" w:hAnsi="Times New Roman"/>
                            <w:i/>
                            <w:color w:val="000000"/>
                            <w:sz w:val="28"/>
                            <w:szCs w:val="28"/>
                          </w:rPr>
                          <w:t xml:space="preserve">The accompanying grant proposal contains confidential information that is, or may become, the subject of a United States patent application and is important to future commercial efforts based on such confidential information. Disclosure of this document and the information that it contains may cause substantial harm to such commercial efforts. Accordingly, this document and the confidential information contained herein are exempt from disclosure under the Freedom of Information Act, Sections 552(b)(3) and (b)(4) of Title 5 of the United States Code and corresponding regulations of [agency]. If any person or entity should request a copy of this document or any portions of it, the Old Dominion University Research Foundation and [Applicant] ask that such requests be provided to [Applicant] and the Director of Innovations Commercialization, Dr. Khaled Abul-Hassan, as provided in Executive Order No 12600. </w:t>
                        </w:r>
                      </w:p>
                      <w:p w14:paraId="5F7341A6" w14:textId="77777777" w:rsidR="0098785B" w:rsidRPr="0098785B" w:rsidRDefault="0098785B">
                        <w:pPr>
                          <w:spacing w:before="100" w:beforeAutospacing="1" w:after="100" w:afterAutospacing="1"/>
                          <w:jc w:val="both"/>
                          <w:rPr>
                            <w:rFonts w:ascii="Times New Roman" w:hAnsi="Times New Roman"/>
                            <w:i/>
                            <w:color w:val="000000"/>
                            <w:sz w:val="28"/>
                            <w:szCs w:val="28"/>
                          </w:rPr>
                        </w:pPr>
                        <w:r w:rsidRPr="0098785B">
                          <w:rPr>
                            <w:rFonts w:ascii="Times New Roman" w:hAnsi="Times New Roman"/>
                            <w:i/>
                            <w:color w:val="000000"/>
                            <w:sz w:val="28"/>
                            <w:szCs w:val="28"/>
                          </w:rPr>
                          <w:t xml:space="preserve">Thank you for your consideration. </w:t>
                        </w:r>
                      </w:p>
                      <w:p w14:paraId="63AA7410" w14:textId="77777777" w:rsidR="0098785B" w:rsidRPr="0098785B" w:rsidRDefault="0098785B">
                        <w:pPr>
                          <w:spacing w:before="100" w:beforeAutospacing="1" w:after="100" w:afterAutospacing="1"/>
                          <w:jc w:val="both"/>
                          <w:rPr>
                            <w:rFonts w:ascii="Times New Roman" w:hAnsi="Times New Roman"/>
                            <w:i/>
                            <w:color w:val="000000"/>
                            <w:sz w:val="28"/>
                            <w:szCs w:val="28"/>
                          </w:rPr>
                        </w:pPr>
                        <w:r w:rsidRPr="0098785B">
                          <w:rPr>
                            <w:rFonts w:ascii="Times New Roman" w:hAnsi="Times New Roman"/>
                            <w:i/>
                            <w:color w:val="000000"/>
                            <w:sz w:val="28"/>
                            <w:szCs w:val="28"/>
                          </w:rPr>
                          <w:t xml:space="preserve">Sincerely, </w:t>
                        </w:r>
                      </w:p>
                      <w:p w14:paraId="1D338632" w14:textId="77777777" w:rsidR="0098785B" w:rsidRPr="0098785B" w:rsidRDefault="0098785B">
                        <w:pPr>
                          <w:spacing w:before="100" w:beforeAutospacing="1" w:after="240"/>
                          <w:jc w:val="both"/>
                          <w:rPr>
                            <w:rFonts w:ascii="Times New Roman" w:hAnsi="Times New Roman"/>
                            <w:i/>
                            <w:color w:val="000000"/>
                            <w:sz w:val="28"/>
                            <w:szCs w:val="28"/>
                          </w:rPr>
                        </w:pPr>
                        <w:r w:rsidRPr="0098785B">
                          <w:rPr>
                            <w:rFonts w:ascii="Times New Roman" w:hAnsi="Times New Roman"/>
                            <w:i/>
                            <w:color w:val="000000"/>
                            <w:sz w:val="28"/>
                            <w:szCs w:val="28"/>
                          </w:rPr>
                          <w:t xml:space="preserve">[Old Dominion University Research Foundation] </w:t>
                        </w:r>
                      </w:p>
                      <w:p w14:paraId="5CAFF3B8" w14:textId="77777777" w:rsidR="0098785B" w:rsidRDefault="0098785B">
                        <w:pPr>
                          <w:jc w:val="both"/>
                          <w:rPr>
                            <w:rFonts w:ascii="Times New Roman" w:hAnsi="Times New Roman"/>
                            <w:color w:val="000000"/>
                            <w:sz w:val="28"/>
                            <w:szCs w:val="28"/>
                          </w:rPr>
                        </w:pPr>
                        <w:r>
                          <w:rPr>
                            <w:rFonts w:ascii="Times New Roman" w:hAnsi="Times New Roman"/>
                            <w:color w:val="000000"/>
                            <w:sz w:val="28"/>
                            <w:szCs w:val="28"/>
                          </w:rPr>
                          <w:t xml:space="preserve">In addition, some changes in the language used in the proposal could help future patentability. If possible, avoid direct and definite predictions concerning the results of the research. Statements in a proposal that "the research should lead to outcomes such as ..." or "I believe that the research will result in ..." may constitute a public disclosure of a potential invention. </w:t>
                        </w:r>
                      </w:p>
                      <w:p w14:paraId="6525C597" w14:textId="77777777" w:rsidR="0098785B" w:rsidRDefault="0098785B">
                        <w:pPr>
                          <w:spacing w:before="100" w:beforeAutospacing="1" w:after="100" w:afterAutospacing="1"/>
                          <w:jc w:val="both"/>
                          <w:rPr>
                            <w:rFonts w:ascii="Times New Roman" w:hAnsi="Times New Roman"/>
                            <w:color w:val="000000"/>
                            <w:sz w:val="28"/>
                            <w:szCs w:val="28"/>
                          </w:rPr>
                        </w:pPr>
                        <w:r>
                          <w:rPr>
                            <w:rFonts w:ascii="Times New Roman" w:hAnsi="Times New Roman"/>
                            <w:color w:val="000000"/>
                            <w:sz w:val="28"/>
                            <w:szCs w:val="28"/>
                          </w:rPr>
                          <w:t xml:space="preserve">The Dept. of HHS specifically requires that any requests for grant applications submitted under the Freedom of Information Act be reviewed by the principal investigator before release, affording an opportunity for deletion of confidential information. Including the following disclaimer at the top of the specific aims section of a grant application will help ensure that proprietary rights are maintained: </w:t>
                        </w:r>
                      </w:p>
                      <w:p w14:paraId="751A1356" w14:textId="77777777" w:rsidR="0098785B" w:rsidRDefault="0098785B">
                        <w:pPr>
                          <w:spacing w:before="100" w:beforeAutospacing="1" w:after="100" w:afterAutospacing="1"/>
                          <w:jc w:val="both"/>
                          <w:rPr>
                            <w:rFonts w:ascii="Times New Roman" w:hAnsi="Times New Roman"/>
                            <w:color w:val="000000"/>
                            <w:sz w:val="28"/>
                            <w:szCs w:val="28"/>
                          </w:rPr>
                        </w:pPr>
                        <w:r>
                          <w:rPr>
                            <w:rFonts w:ascii="Times New Roman" w:hAnsi="Times New Roman"/>
                            <w:b/>
                            <w:bCs/>
                            <w:color w:val="000000"/>
                            <w:sz w:val="28"/>
                            <w:szCs w:val="28"/>
                          </w:rPr>
                          <w:t>"The following information is proprietary and confidential and may not be released without</w:t>
                        </w:r>
                        <w:r>
                          <w:rPr>
                            <w:rFonts w:ascii="Times New Roman" w:hAnsi="Times New Roman"/>
                            <w:color w:val="000000"/>
                            <w:sz w:val="28"/>
                            <w:szCs w:val="28"/>
                          </w:rPr>
                          <w:t xml:space="preserve"> </w:t>
                        </w:r>
                        <w:r>
                          <w:rPr>
                            <w:rFonts w:ascii="Times New Roman" w:hAnsi="Times New Roman"/>
                            <w:color w:val="000000"/>
                            <w:sz w:val="28"/>
                            <w:szCs w:val="28"/>
                          </w:rPr>
                          <w:br/>
                        </w:r>
                        <w:r>
                          <w:rPr>
                            <w:rFonts w:ascii="Times New Roman" w:hAnsi="Times New Roman"/>
                            <w:b/>
                            <w:bCs/>
                            <w:color w:val="000000"/>
                            <w:sz w:val="28"/>
                            <w:szCs w:val="28"/>
                          </w:rPr>
                          <w:t>the prior written approval of the principal investigator. "</w:t>
                        </w:r>
                      </w:p>
                      <w:p w14:paraId="0464B026" w14:textId="77777777" w:rsidR="0098785B" w:rsidRDefault="0098785B">
                        <w:pPr>
                          <w:spacing w:before="100" w:beforeAutospacing="1" w:after="100" w:afterAutospacing="1"/>
                          <w:jc w:val="both"/>
                          <w:rPr>
                            <w:rFonts w:ascii="Times New Roman" w:hAnsi="Times New Roman"/>
                            <w:color w:val="000000"/>
                            <w:sz w:val="28"/>
                            <w:szCs w:val="28"/>
                          </w:rPr>
                        </w:pPr>
                        <w:r>
                          <w:rPr>
                            <w:rFonts w:ascii="Times New Roman" w:hAnsi="Times New Roman"/>
                            <w:color w:val="000000"/>
                            <w:sz w:val="28"/>
                            <w:szCs w:val="28"/>
                          </w:rPr>
                          <w:t xml:space="preserve">For additional information, see SRA Journal/Insight, Spring 1998, pp. 69-72. </w:t>
                        </w:r>
                      </w:p>
                    </w:tc>
                  </w:tr>
                </w:tbl>
                <w:p w14:paraId="44F07AC2" w14:textId="77777777" w:rsidR="0098785B" w:rsidRDefault="0098785B"/>
              </w:tc>
            </w:tr>
          </w:tbl>
          <w:p w14:paraId="64CA2940" w14:textId="77777777" w:rsidR="0098785B" w:rsidRDefault="0098785B"/>
        </w:tc>
      </w:tr>
      <w:tr w:rsidR="0098785B" w14:paraId="486D8070" w14:textId="77777777" w:rsidTr="0098785B">
        <w:trPr>
          <w:tblCellSpacing w:w="0" w:type="dxa"/>
          <w:jc w:val="center"/>
        </w:trPr>
        <w:tc>
          <w:tcPr>
            <w:tcW w:w="0" w:type="auto"/>
            <w:shd w:val="clear" w:color="auto" w:fill="FFFFFF"/>
            <w:vAlign w:val="center"/>
            <w:hideMark/>
          </w:tcPr>
          <w:p w14:paraId="6B918378" w14:textId="7104024C" w:rsidR="0098785B" w:rsidRDefault="0098785B" w:rsidP="00FF52A7">
            <w:pPr>
              <w:spacing w:after="240"/>
              <w:jc w:val="both"/>
            </w:pPr>
          </w:p>
        </w:tc>
      </w:tr>
    </w:tbl>
    <w:p w14:paraId="2BE52D9E" w14:textId="77777777" w:rsidR="008F46BA" w:rsidRDefault="008F46BA"/>
    <w:sectPr w:rsidR="008F46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85B"/>
    <w:rsid w:val="003D1778"/>
    <w:rsid w:val="008F46BA"/>
    <w:rsid w:val="0098785B"/>
    <w:rsid w:val="009C04FF"/>
    <w:rsid w:val="00D95C0A"/>
    <w:rsid w:val="00F100A8"/>
    <w:rsid w:val="00FF5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3BE3F"/>
  <w15:docId w15:val="{BB12F49E-7641-464E-AD2D-45E959502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85B"/>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8785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4328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po.uc.edu/file_html/Cetu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647</Words>
  <Characters>3689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Old Dominion University</Company>
  <LinksUpToDate>false</LinksUpToDate>
  <CharactersWithSpaces>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Alsberry, Reis D.</dc:creator>
  <cp:lastModifiedBy>Robinson, Shannon M.</cp:lastModifiedBy>
  <cp:revision>2</cp:revision>
  <dcterms:created xsi:type="dcterms:W3CDTF">2025-08-29T00:58:00Z</dcterms:created>
  <dcterms:modified xsi:type="dcterms:W3CDTF">2025-08-29T00:58:00Z</dcterms:modified>
</cp:coreProperties>
</file>