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BCC" w14:textId="77777777" w:rsidR="00D251BC" w:rsidRPr="00D251BC" w:rsidRDefault="00D251BC" w:rsidP="00D251BC">
      <w:pPr>
        <w:spacing w:after="0"/>
        <w:jc w:val="center"/>
        <w:rPr>
          <w:rFonts w:ascii="Aptos" w:eastAsia="Aptos" w:hAnsi="Aptos" w:cs="Calibri"/>
          <w:b/>
          <w:bCs/>
          <w:sz w:val="28"/>
          <w:szCs w:val="28"/>
        </w:rPr>
      </w:pPr>
      <w:r w:rsidRPr="00D251BC">
        <w:rPr>
          <w:rFonts w:ascii="Aptos" w:eastAsia="Aptos" w:hAnsi="Aptos" w:cs="Calibri"/>
          <w:b/>
          <w:bCs/>
          <w:sz w:val="28"/>
          <w:szCs w:val="28"/>
        </w:rPr>
        <w:t>Faculty Senate Executive Committee Meeting</w:t>
      </w:r>
    </w:p>
    <w:p w14:paraId="76BE036A" w14:textId="2285BDD2" w:rsidR="00D251BC" w:rsidRPr="00D251BC" w:rsidRDefault="0080151C" w:rsidP="00D251BC">
      <w:pPr>
        <w:spacing w:after="0"/>
        <w:jc w:val="center"/>
        <w:rPr>
          <w:rFonts w:ascii="Aptos" w:eastAsia="Aptos" w:hAnsi="Aptos" w:cs="Calibri"/>
          <w:sz w:val="28"/>
          <w:szCs w:val="28"/>
        </w:rPr>
      </w:pPr>
      <w:r>
        <w:rPr>
          <w:rFonts w:ascii="Aptos" w:eastAsia="Aptos" w:hAnsi="Aptos" w:cs="Calibri"/>
          <w:sz w:val="28"/>
          <w:szCs w:val="28"/>
        </w:rPr>
        <w:t>January 6</w:t>
      </w:r>
      <w:r w:rsidR="00D251BC" w:rsidRPr="00D251BC">
        <w:rPr>
          <w:rFonts w:ascii="Aptos" w:eastAsia="Aptos" w:hAnsi="Aptos" w:cs="Calibri"/>
          <w:sz w:val="28"/>
          <w:szCs w:val="28"/>
        </w:rPr>
        <w:t>, 202</w:t>
      </w:r>
      <w:r>
        <w:rPr>
          <w:rFonts w:ascii="Aptos" w:eastAsia="Aptos" w:hAnsi="Aptos" w:cs="Calibri"/>
          <w:sz w:val="28"/>
          <w:szCs w:val="28"/>
        </w:rPr>
        <w:t>6</w:t>
      </w:r>
      <w:r w:rsidR="00D251BC" w:rsidRPr="00D251BC">
        <w:rPr>
          <w:rFonts w:ascii="Aptos" w:eastAsia="Aptos" w:hAnsi="Aptos" w:cs="Calibri"/>
          <w:sz w:val="28"/>
          <w:szCs w:val="28"/>
        </w:rPr>
        <w:t>, 3:00-</w:t>
      </w:r>
      <w:r>
        <w:rPr>
          <w:rFonts w:ascii="Aptos" w:eastAsia="Aptos" w:hAnsi="Aptos" w:cs="Calibri"/>
          <w:sz w:val="28"/>
          <w:szCs w:val="28"/>
        </w:rPr>
        <w:t>5:15</w:t>
      </w:r>
      <w:r w:rsidR="00D251BC" w:rsidRPr="00D251BC">
        <w:rPr>
          <w:rFonts w:ascii="Aptos" w:eastAsia="Aptos" w:hAnsi="Aptos" w:cs="Calibri"/>
          <w:sz w:val="28"/>
          <w:szCs w:val="28"/>
        </w:rPr>
        <w:t xml:space="preserve"> PM, Via ZOOM</w:t>
      </w:r>
    </w:p>
    <w:p w14:paraId="7295DF55" w14:textId="77777777" w:rsidR="00D251BC" w:rsidRPr="00D251BC" w:rsidRDefault="00D251BC" w:rsidP="00D251BC">
      <w:pPr>
        <w:spacing w:after="0"/>
        <w:jc w:val="center"/>
        <w:rPr>
          <w:rFonts w:ascii="Aptos" w:eastAsia="Aptos" w:hAnsi="Aptos" w:cs="Calibri"/>
          <w:b/>
          <w:bCs/>
        </w:rPr>
      </w:pPr>
      <w:r w:rsidRPr="00D251BC">
        <w:rPr>
          <w:rFonts w:ascii="Aptos" w:eastAsia="Aptos" w:hAnsi="Aptos" w:cs="Calibri"/>
          <w:b/>
          <w:bCs/>
        </w:rPr>
        <w:t>MINUTES</w:t>
      </w:r>
    </w:p>
    <w:p w14:paraId="7AA5BA62" w14:textId="526E0118" w:rsidR="00D251BC" w:rsidRDefault="00D251BC" w:rsidP="00D251BC">
      <w:pPr>
        <w:jc w:val="center"/>
        <w:rPr>
          <w:rFonts w:ascii="Aptos" w:eastAsia="Aptos" w:hAnsi="Aptos" w:cs="Calibri"/>
        </w:rPr>
      </w:pPr>
      <w:r w:rsidRPr="00D251BC">
        <w:rPr>
          <w:rFonts w:ascii="Aptos" w:eastAsia="Aptos" w:hAnsi="Aptos" w:cs="Calibri"/>
          <w:i/>
          <w:iCs/>
        </w:rPr>
        <w:t>Attendance</w:t>
      </w:r>
      <w:r w:rsidRPr="00D251BC">
        <w:rPr>
          <w:rFonts w:ascii="Aptos" w:eastAsia="Aptos" w:hAnsi="Aptos" w:cs="Calibri"/>
        </w:rPr>
        <w:t>: Chair Corrin Gillis, Vice-chair Wie Yusuf, Secretary Tatyana Lobova, Senator David Burdige, Senator Dennis Gregory, Senator Elizabeth Burns, Senator Lee Land</w:t>
      </w:r>
      <w:r w:rsidR="0080151C">
        <w:rPr>
          <w:rFonts w:ascii="Aptos" w:eastAsia="Aptos" w:hAnsi="Aptos" w:cs="Calibri"/>
        </w:rPr>
        <w:t xml:space="preserve">, </w:t>
      </w:r>
      <w:r w:rsidRPr="00D251BC">
        <w:rPr>
          <w:rFonts w:ascii="Aptos" w:eastAsia="Aptos" w:hAnsi="Aptos" w:cs="Calibri"/>
        </w:rPr>
        <w:t xml:space="preserve">Senator </w:t>
      </w:r>
      <w:proofErr w:type="gramStart"/>
      <w:r w:rsidRPr="00D251BC">
        <w:rPr>
          <w:rFonts w:ascii="Aptos" w:eastAsia="Aptos" w:hAnsi="Aptos" w:cs="Calibri"/>
        </w:rPr>
        <w:t>Lucy  Wittkower,  Senator</w:t>
      </w:r>
      <w:proofErr w:type="gramEnd"/>
      <w:r w:rsidRPr="00D251BC">
        <w:rPr>
          <w:rFonts w:ascii="Aptos" w:eastAsia="Aptos" w:hAnsi="Aptos" w:cs="Calibri"/>
        </w:rPr>
        <w:t xml:space="preserve"> Ali Hosseini</w:t>
      </w:r>
    </w:p>
    <w:p w14:paraId="4C9F5C27" w14:textId="77777777" w:rsidR="0040058B" w:rsidRDefault="0040058B" w:rsidP="00D251BC">
      <w:pPr>
        <w:jc w:val="center"/>
        <w:rPr>
          <w:rFonts w:ascii="Aptos" w:eastAsia="Aptos" w:hAnsi="Aptos" w:cs="Calibri"/>
        </w:rPr>
      </w:pPr>
    </w:p>
    <w:p w14:paraId="371AA309" w14:textId="77777777" w:rsidR="0080151C" w:rsidRDefault="0080151C" w:rsidP="0080151C">
      <w:pPr>
        <w:numPr>
          <w:ilvl w:val="0"/>
          <w:numId w:val="2"/>
        </w:numPr>
        <w:contextualSpacing/>
        <w:rPr>
          <w:rFonts w:ascii="Aptos" w:eastAsia="Aptos" w:hAnsi="Aptos" w:cs="Times New Roman"/>
          <w:b/>
          <w:bCs/>
        </w:rPr>
      </w:pPr>
      <w:r w:rsidRPr="0080151C">
        <w:rPr>
          <w:rFonts w:ascii="Aptos" w:eastAsia="Aptos" w:hAnsi="Aptos" w:cs="Times New Roman"/>
          <w:b/>
          <w:bCs/>
        </w:rPr>
        <w:t xml:space="preserve">EC Individual policy review assignments: </w:t>
      </w:r>
    </w:p>
    <w:p w14:paraId="1170C4CA" w14:textId="77777777" w:rsidR="00215495" w:rsidRPr="0080151C" w:rsidRDefault="00215495" w:rsidP="00215495">
      <w:pPr>
        <w:ind w:left="720"/>
        <w:contextualSpacing/>
        <w:rPr>
          <w:rFonts w:ascii="Aptos" w:eastAsia="Aptos" w:hAnsi="Aptos" w:cs="Times New Roman"/>
          <w:b/>
          <w:bCs/>
        </w:rPr>
      </w:pPr>
    </w:p>
    <w:p w14:paraId="66BD089F" w14:textId="55F9ED9F" w:rsidR="0080151C" w:rsidRPr="0080151C" w:rsidRDefault="0080151C" w:rsidP="00215495">
      <w:pPr>
        <w:numPr>
          <w:ilvl w:val="0"/>
          <w:numId w:val="1"/>
        </w:numPr>
        <w:spacing w:after="0"/>
      </w:pPr>
      <w:r>
        <w:t xml:space="preserve">Red Line – Uni Policy – </w:t>
      </w:r>
      <w:r w:rsidR="00C4479F" w:rsidRPr="00C4479F">
        <w:rPr>
          <w:b/>
          <w:bCs/>
        </w:rPr>
        <w:t xml:space="preserve">Temporary </w:t>
      </w:r>
      <w:r w:rsidR="00C4479F" w:rsidRPr="00206038">
        <w:rPr>
          <w:b/>
          <w:bCs/>
        </w:rPr>
        <w:t>C</w:t>
      </w:r>
      <w:r w:rsidR="00C4479F" w:rsidRPr="00C4479F">
        <w:rPr>
          <w:b/>
          <w:bCs/>
        </w:rPr>
        <w:t xml:space="preserve">hange in </w:t>
      </w:r>
      <w:r w:rsidR="00C4479F" w:rsidRPr="00206038">
        <w:rPr>
          <w:b/>
          <w:bCs/>
        </w:rPr>
        <w:t>T</w:t>
      </w:r>
      <w:r w:rsidR="00C4479F" w:rsidRPr="00C4479F">
        <w:rPr>
          <w:b/>
          <w:bCs/>
        </w:rPr>
        <w:t xml:space="preserve">eaching </w:t>
      </w:r>
      <w:r w:rsidR="00C4479F" w:rsidRPr="00206038">
        <w:rPr>
          <w:b/>
          <w:bCs/>
        </w:rPr>
        <w:t>D</w:t>
      </w:r>
      <w:r w:rsidR="00C4479F" w:rsidRPr="00C4479F">
        <w:rPr>
          <w:b/>
          <w:bCs/>
        </w:rPr>
        <w:t>uties</w:t>
      </w:r>
      <w:r w:rsidR="00C4479F" w:rsidRPr="00206038">
        <w:rPr>
          <w:b/>
          <w:bCs/>
        </w:rPr>
        <w:t xml:space="preserve"> for</w:t>
      </w:r>
      <w:r w:rsidR="00C4479F" w:rsidRPr="00C4479F">
        <w:rPr>
          <w:b/>
          <w:bCs/>
        </w:rPr>
        <w:t xml:space="preserve"> </w:t>
      </w:r>
      <w:r w:rsidRPr="00206038">
        <w:rPr>
          <w:b/>
          <w:bCs/>
        </w:rPr>
        <w:t>Teaching Fac</w:t>
      </w:r>
      <w:r w:rsidR="00C4479F" w:rsidRPr="00206038">
        <w:rPr>
          <w:b/>
          <w:bCs/>
        </w:rPr>
        <w:t>ulty</w:t>
      </w:r>
      <w:r w:rsidRPr="00206038">
        <w:rPr>
          <w:b/>
          <w:bCs/>
        </w:rPr>
        <w:t xml:space="preserve"> Expecting New </w:t>
      </w:r>
      <w:r w:rsidR="00C4479F" w:rsidRPr="00206038">
        <w:rPr>
          <w:b/>
          <w:bCs/>
        </w:rPr>
        <w:t xml:space="preserve">Family </w:t>
      </w:r>
      <w:r w:rsidRPr="00206038">
        <w:rPr>
          <w:b/>
          <w:bCs/>
        </w:rPr>
        <w:t>Member</w:t>
      </w:r>
      <w:r>
        <w:t xml:space="preserve"> </w:t>
      </w:r>
      <w:r w:rsidR="00206038">
        <w:t xml:space="preserve">-- </w:t>
      </w:r>
      <w:r w:rsidRPr="0080151C">
        <w:rPr>
          <w:b/>
          <w:bCs/>
        </w:rPr>
        <w:t>EC</w:t>
      </w:r>
      <w:r w:rsidRPr="0080151C">
        <w:t> </w:t>
      </w:r>
    </w:p>
    <w:p w14:paraId="22D3B8D3" w14:textId="2677CFB7" w:rsidR="0080151C" w:rsidRPr="00215495" w:rsidRDefault="00215495" w:rsidP="00215495">
      <w:pPr>
        <w:numPr>
          <w:ilvl w:val="1"/>
          <w:numId w:val="1"/>
        </w:numPr>
        <w:spacing w:after="0"/>
        <w:rPr>
          <w:color w:val="FF0000"/>
        </w:rPr>
      </w:pPr>
      <w:r w:rsidRPr="00215495">
        <w:rPr>
          <w:color w:val="FF0000"/>
        </w:rPr>
        <w:t>Changes in yellow</w:t>
      </w:r>
    </w:p>
    <w:p w14:paraId="0ED928A4" w14:textId="3A52FDD9" w:rsidR="00364EFA" w:rsidRDefault="00364EFA" w:rsidP="00364EFA">
      <w:pPr>
        <w:numPr>
          <w:ilvl w:val="0"/>
          <w:numId w:val="1"/>
        </w:numPr>
        <w:spacing w:after="0"/>
      </w:pPr>
      <w:r>
        <w:t xml:space="preserve"> </w:t>
      </w:r>
      <w:r w:rsidRPr="00C4479F">
        <w:rPr>
          <w:b/>
          <w:bCs/>
        </w:rPr>
        <w:t xml:space="preserve">University </w:t>
      </w:r>
      <w:proofErr w:type="gramStart"/>
      <w:r w:rsidR="00206038">
        <w:rPr>
          <w:b/>
          <w:bCs/>
        </w:rPr>
        <w:t>P</w:t>
      </w:r>
      <w:r w:rsidRPr="00C4479F">
        <w:rPr>
          <w:b/>
          <w:bCs/>
        </w:rPr>
        <w:t>rofessors</w:t>
      </w:r>
      <w:r w:rsidRPr="00C4479F">
        <w:t> </w:t>
      </w:r>
      <w:r w:rsidR="00206038">
        <w:t xml:space="preserve"> --</w:t>
      </w:r>
      <w:proofErr w:type="gramEnd"/>
      <w:r w:rsidR="00206038">
        <w:t xml:space="preserve"> </w:t>
      </w:r>
      <w:r>
        <w:t xml:space="preserve"> </w:t>
      </w:r>
      <w:r w:rsidRPr="00C4479F">
        <w:rPr>
          <w:b/>
          <w:bCs/>
        </w:rPr>
        <w:t>EC</w:t>
      </w:r>
      <w:r w:rsidRPr="00C4479F">
        <w:t xml:space="preserve">  </w:t>
      </w:r>
    </w:p>
    <w:p w14:paraId="3BF8DB58" w14:textId="77777777" w:rsidR="00364EFA" w:rsidRPr="00364EFA" w:rsidRDefault="00364EFA" w:rsidP="00364EFA">
      <w:pPr>
        <w:numPr>
          <w:ilvl w:val="1"/>
          <w:numId w:val="1"/>
        </w:numPr>
        <w:spacing w:after="0"/>
        <w:rPr>
          <w:color w:val="FF0000"/>
        </w:rPr>
      </w:pPr>
      <w:r w:rsidRPr="00364EFA">
        <w:rPr>
          <w:color w:val="FF0000"/>
        </w:rPr>
        <w:t xml:space="preserve">Change the title of the policy back to “University Professor” </w:t>
      </w:r>
    </w:p>
    <w:p w14:paraId="5503888C" w14:textId="3E7E7D5D" w:rsidR="00364EFA" w:rsidRDefault="00364EFA" w:rsidP="00364EFA">
      <w:pPr>
        <w:numPr>
          <w:ilvl w:val="1"/>
          <w:numId w:val="1"/>
        </w:numPr>
        <w:spacing w:after="0"/>
        <w:rPr>
          <w:color w:val="FF0000"/>
        </w:rPr>
      </w:pPr>
      <w:r w:rsidRPr="00364EFA">
        <w:rPr>
          <w:color w:val="FF0000"/>
        </w:rPr>
        <w:t>Leave the Procedure section in place</w:t>
      </w:r>
      <w:r>
        <w:rPr>
          <w:color w:val="FF0000"/>
        </w:rPr>
        <w:t xml:space="preserve"> for simplicity of policy use</w:t>
      </w:r>
    </w:p>
    <w:p w14:paraId="22B7AAB1" w14:textId="749BB15A" w:rsidR="00364EFA" w:rsidRDefault="00364EFA" w:rsidP="00364EFA">
      <w:pPr>
        <w:numPr>
          <w:ilvl w:val="0"/>
          <w:numId w:val="1"/>
        </w:numPr>
      </w:pPr>
      <w:r w:rsidRPr="00C4479F">
        <w:rPr>
          <w:b/>
          <w:bCs/>
        </w:rPr>
        <w:t>Revised department chair appointment, responsibilities, and evaluation</w:t>
      </w:r>
      <w:r w:rsidRPr="00C4479F">
        <w:rPr>
          <w:rFonts w:ascii="Arial" w:hAnsi="Arial" w:cs="Arial"/>
        </w:rPr>
        <w:t> </w:t>
      </w:r>
      <w:r w:rsidRPr="00C4479F">
        <w:t xml:space="preserve">(NOTE: this is the revised, combined Dept Chair policy, and replaces the </w:t>
      </w:r>
      <w:proofErr w:type="gramStart"/>
      <w:r w:rsidRPr="00C4479F">
        <w:t xml:space="preserve">version </w:t>
      </w:r>
      <w:r w:rsidRPr="00C4479F">
        <w:rPr>
          <w:rFonts w:ascii="Arial" w:hAnsi="Arial" w:cs="Arial"/>
        </w:rPr>
        <w:t> </w:t>
      </w:r>
      <w:r w:rsidRPr="00C4479F">
        <w:rPr>
          <w:u w:val="single"/>
        </w:rPr>
        <w:t>recalled</w:t>
      </w:r>
      <w:proofErr w:type="gramEnd"/>
      <w:r w:rsidRPr="00C4479F">
        <w:rPr>
          <w:rFonts w:ascii="Arial" w:hAnsi="Arial" w:cs="Arial"/>
          <w:u w:val="single"/>
        </w:rPr>
        <w:t> </w:t>
      </w:r>
      <w:r w:rsidRPr="00C4479F">
        <w:t>on June 24, 2025) - </w:t>
      </w:r>
      <w:r w:rsidRPr="00C4479F">
        <w:rPr>
          <w:b/>
          <w:bCs/>
        </w:rPr>
        <w:t>EC</w:t>
      </w:r>
      <w:r w:rsidRPr="00C4479F">
        <w:t xml:space="preserve">  </w:t>
      </w:r>
    </w:p>
    <w:p w14:paraId="7B1C04C4" w14:textId="77777777" w:rsidR="00364EFA" w:rsidRDefault="00364EFA" w:rsidP="00364EFA">
      <w:pPr>
        <w:numPr>
          <w:ilvl w:val="1"/>
          <w:numId w:val="1"/>
        </w:numPr>
        <w:spacing w:after="0"/>
        <w:rPr>
          <w:color w:val="FF0000"/>
        </w:rPr>
      </w:pPr>
      <w:r w:rsidRPr="00364EFA">
        <w:rPr>
          <w:color w:val="FF0000"/>
        </w:rPr>
        <w:t xml:space="preserve">Paragraph 2 A 1 </w:t>
      </w:r>
      <w:proofErr w:type="gramStart"/>
      <w:r w:rsidRPr="00364EFA">
        <w:rPr>
          <w:color w:val="FF0000"/>
        </w:rPr>
        <w:t>need</w:t>
      </w:r>
      <w:proofErr w:type="gramEnd"/>
      <w:r w:rsidRPr="00364EFA">
        <w:rPr>
          <w:color w:val="FF0000"/>
        </w:rPr>
        <w:t xml:space="preserve"> to be revised and replaced. The current "consultation" wording </w:t>
      </w:r>
      <w:proofErr w:type="gramStart"/>
      <w:r w:rsidRPr="00364EFA">
        <w:rPr>
          <w:color w:val="FF0000"/>
        </w:rPr>
        <w:t>allowed</w:t>
      </w:r>
      <w:proofErr w:type="gramEnd"/>
      <w:r w:rsidRPr="00364EFA">
        <w:rPr>
          <w:color w:val="FF0000"/>
        </w:rPr>
        <w:t xml:space="preserve"> deans to unilaterally appoint chairs without meaningful faculty input. </w:t>
      </w:r>
    </w:p>
    <w:p w14:paraId="62BBA058" w14:textId="77777777" w:rsidR="00364EFA" w:rsidRPr="00C4479F" w:rsidRDefault="00364EFA" w:rsidP="00364EFA">
      <w:pPr>
        <w:numPr>
          <w:ilvl w:val="1"/>
          <w:numId w:val="1"/>
        </w:numPr>
        <w:spacing w:after="0"/>
        <w:rPr>
          <w:color w:val="FF0000"/>
        </w:rPr>
      </w:pPr>
      <w:r>
        <w:rPr>
          <w:color w:val="FF0000"/>
        </w:rPr>
        <w:t>R</w:t>
      </w:r>
      <w:r w:rsidRPr="00364EFA">
        <w:rPr>
          <w:color w:val="FF0000"/>
        </w:rPr>
        <w:t>ecommend that the faculty senate completely rewrite the policy to better define the department chair's responsibilities and relationship with the dean</w:t>
      </w:r>
      <w:r>
        <w:rPr>
          <w:color w:val="FF0000"/>
        </w:rPr>
        <w:t xml:space="preserve">. </w:t>
      </w:r>
    </w:p>
    <w:p w14:paraId="7CEFC371" w14:textId="77777777" w:rsidR="00364EFA" w:rsidRDefault="00364EFA" w:rsidP="00364EFA">
      <w:pPr>
        <w:numPr>
          <w:ilvl w:val="1"/>
          <w:numId w:val="1"/>
        </w:numPr>
        <w:spacing w:after="0"/>
        <w:rPr>
          <w:color w:val="FF0000"/>
        </w:rPr>
      </w:pPr>
      <w:r>
        <w:rPr>
          <w:color w:val="FF0000"/>
        </w:rPr>
        <w:t xml:space="preserve">Sent to </w:t>
      </w:r>
      <w:proofErr w:type="spellStart"/>
      <w:r w:rsidRPr="00206038">
        <w:rPr>
          <w:b/>
          <w:bCs/>
          <w:color w:val="FF0000"/>
        </w:rPr>
        <w:t>Cmte</w:t>
      </w:r>
      <w:proofErr w:type="spellEnd"/>
      <w:r w:rsidRPr="00206038">
        <w:rPr>
          <w:b/>
          <w:bCs/>
          <w:color w:val="FF0000"/>
        </w:rPr>
        <w:t xml:space="preserve"> I</w:t>
      </w:r>
      <w:r>
        <w:rPr>
          <w:color w:val="FF0000"/>
        </w:rPr>
        <w:t xml:space="preserve"> for detailed review</w:t>
      </w:r>
    </w:p>
    <w:p w14:paraId="7F92D0F7" w14:textId="49B8501E" w:rsidR="00D251BC" w:rsidRDefault="00364EFA" w:rsidP="00364EFA">
      <w:pPr>
        <w:pStyle w:val="ListParagraph"/>
        <w:numPr>
          <w:ilvl w:val="0"/>
          <w:numId w:val="1"/>
        </w:numPr>
      </w:pPr>
      <w:r w:rsidRPr="00C4479F">
        <w:rPr>
          <w:b/>
          <w:bCs/>
        </w:rPr>
        <w:t>Promotion in Rank for Career-track Faculty</w:t>
      </w:r>
      <w:r w:rsidR="00206038">
        <w:t xml:space="preserve"> --</w:t>
      </w:r>
      <w:r w:rsidRPr="00C4479F">
        <w:t>- </w:t>
      </w:r>
      <w:r w:rsidRPr="00C4479F">
        <w:rPr>
          <w:b/>
          <w:bCs/>
        </w:rPr>
        <w:t>EC</w:t>
      </w:r>
      <w:r w:rsidRPr="00C4479F">
        <w:t>/</w:t>
      </w:r>
      <w:r w:rsidRPr="00C4479F">
        <w:rPr>
          <w:b/>
          <w:bCs/>
        </w:rPr>
        <w:t>F</w:t>
      </w:r>
      <w:r w:rsidRPr="00C4479F">
        <w:t> </w:t>
      </w:r>
      <w:r>
        <w:t xml:space="preserve"> </w:t>
      </w:r>
    </w:p>
    <w:p w14:paraId="213F0653" w14:textId="26C8461A" w:rsidR="00206038" w:rsidRPr="00206038" w:rsidRDefault="00206038" w:rsidP="00206038">
      <w:pPr>
        <w:pStyle w:val="ListParagraph"/>
        <w:numPr>
          <w:ilvl w:val="1"/>
          <w:numId w:val="1"/>
        </w:numPr>
        <w:rPr>
          <w:color w:val="FF0000"/>
        </w:rPr>
      </w:pPr>
      <w:r w:rsidRPr="00206038">
        <w:rPr>
          <w:color w:val="FF0000"/>
        </w:rPr>
        <w:t xml:space="preserve">Changed </w:t>
      </w:r>
      <w:proofErr w:type="gramStart"/>
      <w:r w:rsidRPr="00206038">
        <w:rPr>
          <w:color w:val="FF0000"/>
        </w:rPr>
        <w:t>in</w:t>
      </w:r>
      <w:proofErr w:type="gramEnd"/>
      <w:r w:rsidRPr="00206038">
        <w:rPr>
          <w:color w:val="FF0000"/>
        </w:rPr>
        <w:t xml:space="preserve"> yellow</w:t>
      </w:r>
    </w:p>
    <w:p w14:paraId="7468C737" w14:textId="1F6156CA" w:rsidR="00206038" w:rsidRPr="00206038" w:rsidRDefault="00206038" w:rsidP="00206038">
      <w:pPr>
        <w:pStyle w:val="ListParagraph"/>
        <w:numPr>
          <w:ilvl w:val="1"/>
          <w:numId w:val="1"/>
        </w:numPr>
        <w:rPr>
          <w:color w:val="FF0000"/>
        </w:rPr>
      </w:pPr>
      <w:r w:rsidRPr="00206038">
        <w:rPr>
          <w:color w:val="FF0000"/>
        </w:rPr>
        <w:t xml:space="preserve">Sent to </w:t>
      </w:r>
      <w:proofErr w:type="spellStart"/>
      <w:r w:rsidRPr="00206038">
        <w:rPr>
          <w:b/>
          <w:bCs/>
          <w:color w:val="FF0000"/>
        </w:rPr>
        <w:t>Cmte</w:t>
      </w:r>
      <w:proofErr w:type="spellEnd"/>
      <w:r w:rsidRPr="00206038">
        <w:rPr>
          <w:b/>
          <w:bCs/>
          <w:color w:val="FF0000"/>
        </w:rPr>
        <w:t xml:space="preserve"> F</w:t>
      </w:r>
      <w:r w:rsidRPr="00206038">
        <w:rPr>
          <w:color w:val="FF0000"/>
        </w:rPr>
        <w:t xml:space="preserve"> for detailed review </w:t>
      </w:r>
    </w:p>
    <w:p w14:paraId="3264CA93" w14:textId="2A4115D5" w:rsidR="00364EFA" w:rsidRPr="00206038" w:rsidRDefault="00364EFA" w:rsidP="00364EFA">
      <w:pPr>
        <w:pStyle w:val="ListParagraph"/>
        <w:numPr>
          <w:ilvl w:val="0"/>
          <w:numId w:val="1"/>
        </w:numPr>
      </w:pPr>
      <w:r w:rsidRPr="00C4479F">
        <w:rPr>
          <w:b/>
          <w:bCs/>
        </w:rPr>
        <w:t>BOV 1401 - Initial Appointment of Teaching and Research Faculty</w:t>
      </w:r>
      <w:r w:rsidRPr="00C4479F">
        <w:t>-</w:t>
      </w:r>
      <w:r w:rsidR="00206038">
        <w:t>--</w:t>
      </w:r>
      <w:r w:rsidRPr="00C4479F">
        <w:rPr>
          <w:b/>
          <w:bCs/>
        </w:rPr>
        <w:t> EC</w:t>
      </w:r>
    </w:p>
    <w:p w14:paraId="06C90D79" w14:textId="4A47474A" w:rsidR="00206038" w:rsidRPr="00206038" w:rsidRDefault="00206038" w:rsidP="00206038">
      <w:pPr>
        <w:pStyle w:val="ListParagraph"/>
        <w:numPr>
          <w:ilvl w:val="1"/>
          <w:numId w:val="1"/>
        </w:numPr>
        <w:rPr>
          <w:color w:val="FF0000"/>
        </w:rPr>
      </w:pPr>
      <w:r w:rsidRPr="00206038">
        <w:rPr>
          <w:color w:val="FF0000"/>
        </w:rPr>
        <w:t xml:space="preserve">Inconsistency between different faculty appointments. Needs to be clarified why the School of Medicine has different rules. Policy will be edited </w:t>
      </w:r>
      <w:r>
        <w:rPr>
          <w:color w:val="FF0000"/>
        </w:rPr>
        <w:t xml:space="preserve">by next week </w:t>
      </w:r>
      <w:r w:rsidRPr="00206038">
        <w:rPr>
          <w:color w:val="FF0000"/>
        </w:rPr>
        <w:t xml:space="preserve">and sent to the Senate for further discussion and approval. </w:t>
      </w:r>
    </w:p>
    <w:p w14:paraId="7A6FF4D2" w14:textId="77777777" w:rsidR="00C4479F" w:rsidRPr="00C4479F" w:rsidRDefault="00C4479F" w:rsidP="00C4479F"/>
    <w:sectPr w:rsidR="00C4479F" w:rsidRPr="00C4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72D"/>
    <w:multiLevelType w:val="hybridMultilevel"/>
    <w:tmpl w:val="BD3E9D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27DFF"/>
    <w:multiLevelType w:val="hybridMultilevel"/>
    <w:tmpl w:val="82101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4FBA"/>
    <w:multiLevelType w:val="hybridMultilevel"/>
    <w:tmpl w:val="D0D87264"/>
    <w:lvl w:ilvl="0" w:tplc="A8C8B4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67373">
    <w:abstractNumId w:val="2"/>
  </w:num>
  <w:num w:numId="2" w16cid:durableId="1035810660">
    <w:abstractNumId w:val="0"/>
  </w:num>
  <w:num w:numId="3" w16cid:durableId="168894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BC"/>
    <w:rsid w:val="00206038"/>
    <w:rsid w:val="00215495"/>
    <w:rsid w:val="00364EFA"/>
    <w:rsid w:val="0040058B"/>
    <w:rsid w:val="0042104D"/>
    <w:rsid w:val="0080151C"/>
    <w:rsid w:val="00B2622A"/>
    <w:rsid w:val="00B7156E"/>
    <w:rsid w:val="00C4479F"/>
    <w:rsid w:val="00CA6FF9"/>
    <w:rsid w:val="00D2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4E22"/>
  <w15:chartTrackingRefBased/>
  <w15:docId w15:val="{79BCB2D6-ABA2-411B-A963-83074E25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242</Words>
  <Characters>1346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Lobova, Tatyana A.</dc:creator>
  <cp:keywords/>
  <dc:description/>
  <cp:lastModifiedBy>Lobova, Tatyana A.</cp:lastModifiedBy>
  <cp:revision>1</cp:revision>
  <dcterms:created xsi:type="dcterms:W3CDTF">2026-01-09T21:14:00Z</dcterms:created>
  <dcterms:modified xsi:type="dcterms:W3CDTF">2026-01-20T00:17:00Z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53f03d06-faa7-4161-8e47-e685b7777b1c</vt:lpwstr>
  </property>
</Properties>
</file>