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7580" w14:textId="77777777" w:rsidR="00BC108B" w:rsidRPr="000C5537" w:rsidRDefault="00BC108B" w:rsidP="00BC108B">
      <w:pPr>
        <w:spacing w:after="0"/>
        <w:jc w:val="center"/>
        <w:rPr>
          <w:rFonts w:eastAsia="Aptos" w:cs="Calibri"/>
          <w:b/>
          <w:bCs/>
        </w:rPr>
      </w:pPr>
      <w:r w:rsidRPr="000C5537">
        <w:rPr>
          <w:rFonts w:eastAsia="Aptos" w:cs="Calibri"/>
          <w:b/>
          <w:bCs/>
        </w:rPr>
        <w:t>Faculty Senate Executive Committee Meeting</w:t>
      </w:r>
    </w:p>
    <w:p w14:paraId="727593D4" w14:textId="6CEF9D8F" w:rsidR="00BC108B" w:rsidRPr="000C5537" w:rsidRDefault="00BC108B" w:rsidP="00BC108B">
      <w:pPr>
        <w:spacing w:after="0"/>
        <w:jc w:val="center"/>
        <w:rPr>
          <w:rFonts w:eastAsia="Aptos" w:cs="Calibri"/>
        </w:rPr>
      </w:pPr>
      <w:r w:rsidRPr="000C5537">
        <w:rPr>
          <w:rFonts w:eastAsia="Aptos" w:cs="Calibri"/>
        </w:rPr>
        <w:t>December 18, 2025, 11:00- 1 PM, Via ZOOM</w:t>
      </w:r>
    </w:p>
    <w:p w14:paraId="23B50E2C" w14:textId="77777777" w:rsidR="00BC108B" w:rsidRPr="000C5537" w:rsidRDefault="00BC108B" w:rsidP="00BC108B">
      <w:pPr>
        <w:spacing w:after="0"/>
        <w:jc w:val="center"/>
        <w:rPr>
          <w:rFonts w:eastAsia="Aptos" w:cs="Calibri"/>
          <w:b/>
          <w:bCs/>
        </w:rPr>
      </w:pPr>
      <w:r w:rsidRPr="000C5537">
        <w:rPr>
          <w:rFonts w:eastAsia="Aptos" w:cs="Calibri"/>
          <w:b/>
          <w:bCs/>
        </w:rPr>
        <w:t>MINUTES</w:t>
      </w:r>
    </w:p>
    <w:p w14:paraId="73ED8606" w14:textId="6D647F1C" w:rsidR="00BC108B" w:rsidRPr="000C5537" w:rsidRDefault="00BC108B" w:rsidP="00BC108B">
      <w:pPr>
        <w:jc w:val="center"/>
        <w:rPr>
          <w:rFonts w:eastAsia="Aptos" w:cs="Calibri"/>
        </w:rPr>
      </w:pPr>
      <w:r w:rsidRPr="000C5537">
        <w:rPr>
          <w:rFonts w:eastAsia="Aptos" w:cs="Calibri"/>
          <w:i/>
          <w:iCs/>
        </w:rPr>
        <w:t>Attendance</w:t>
      </w:r>
      <w:r w:rsidRPr="000C5537">
        <w:rPr>
          <w:rFonts w:eastAsia="Aptos" w:cs="Calibri"/>
        </w:rPr>
        <w:t xml:space="preserve">: Chair Corrin Gillis, Vice-chair Wie Yusuf, Secretary Tatyana Lobova, Senator David Burdige, Senator Dennis Gregory, Senator Elizabeth Burns, Senator Lee Land, Senator Ali Hosseini. </w:t>
      </w:r>
      <w:r w:rsidRPr="000C5537">
        <w:rPr>
          <w:rFonts w:eastAsia="Aptos" w:cs="Calibri"/>
          <w:i/>
          <w:iCs/>
        </w:rPr>
        <w:t xml:space="preserve"> Absent</w:t>
      </w:r>
      <w:r w:rsidRPr="000C5537">
        <w:rPr>
          <w:rFonts w:eastAsia="Aptos" w:cs="Calibri"/>
        </w:rPr>
        <w:t xml:space="preserve">: Senator </w:t>
      </w:r>
      <w:proofErr w:type="gramStart"/>
      <w:r w:rsidRPr="000C5537">
        <w:rPr>
          <w:rFonts w:eastAsia="Aptos" w:cs="Calibri"/>
        </w:rPr>
        <w:t>Lucy  Wittkower</w:t>
      </w:r>
      <w:proofErr w:type="gramEnd"/>
      <w:r w:rsidRPr="000C5537">
        <w:rPr>
          <w:rFonts w:eastAsia="Aptos" w:cs="Calibri"/>
        </w:rPr>
        <w:t xml:space="preserve">,  </w:t>
      </w:r>
    </w:p>
    <w:p w14:paraId="5296BC44" w14:textId="77777777" w:rsidR="00BC108B" w:rsidRPr="000C5537" w:rsidRDefault="00BC108B"/>
    <w:p w14:paraId="0B964030" w14:textId="1A69BC36" w:rsidR="00BC108B" w:rsidRPr="000C5537" w:rsidRDefault="00BC108B" w:rsidP="007D6994">
      <w:pPr>
        <w:pStyle w:val="ListParagraph"/>
        <w:numPr>
          <w:ilvl w:val="0"/>
          <w:numId w:val="4"/>
        </w:numPr>
        <w:rPr>
          <w:rFonts w:eastAsia="Aptos" w:cs="Times New Roman"/>
          <w:b/>
          <w:bCs/>
        </w:rPr>
      </w:pPr>
      <w:r w:rsidRPr="000C5537">
        <w:rPr>
          <w:rFonts w:eastAsia="Aptos" w:cs="Times New Roman"/>
          <w:b/>
          <w:bCs/>
        </w:rPr>
        <w:t>New Minor in A</w:t>
      </w:r>
      <w:r w:rsidR="00B51554" w:rsidRPr="000C5537">
        <w:rPr>
          <w:rFonts w:eastAsia="Aptos" w:cs="Times New Roman"/>
          <w:b/>
          <w:bCs/>
        </w:rPr>
        <w:t>rtificial Intelligence</w:t>
      </w:r>
      <w:r w:rsidR="005C714B" w:rsidRPr="000C5537">
        <w:rPr>
          <w:rFonts w:eastAsia="Times New Roman"/>
        </w:rPr>
        <w:t xml:space="preserve"> </w:t>
      </w:r>
      <w:r w:rsidR="005C714B" w:rsidRPr="000C5537">
        <w:rPr>
          <w:rFonts w:eastAsia="Aptos" w:cs="Times New Roman"/>
          <w:b/>
          <w:bCs/>
        </w:rPr>
        <w:t>- Computational Foundations</w:t>
      </w:r>
      <w:r w:rsidR="00B51554" w:rsidRPr="000C5537">
        <w:rPr>
          <w:rFonts w:eastAsia="Aptos" w:cs="Times New Roman"/>
          <w:b/>
          <w:bCs/>
        </w:rPr>
        <w:t xml:space="preserve"> </w:t>
      </w:r>
    </w:p>
    <w:p w14:paraId="3F98155E" w14:textId="50FDD282" w:rsidR="00C03114" w:rsidRPr="000C5537" w:rsidRDefault="00C03114" w:rsidP="007D6994">
      <w:pPr>
        <w:pStyle w:val="ListParagraph"/>
        <w:numPr>
          <w:ilvl w:val="1"/>
          <w:numId w:val="4"/>
        </w:numPr>
        <w:rPr>
          <w:rFonts w:eastAsia="Aptos" w:cs="Times New Roman"/>
        </w:rPr>
      </w:pPr>
      <w:r w:rsidRPr="000C5537">
        <w:rPr>
          <w:rFonts w:eastAsia="Aptos" w:cs="Times New Roman"/>
        </w:rPr>
        <w:t>Recommended for approval by Committee A</w:t>
      </w:r>
    </w:p>
    <w:p w14:paraId="24BACFEB" w14:textId="60A23276" w:rsidR="008D6B3C" w:rsidRPr="000C5537" w:rsidRDefault="00C03114" w:rsidP="00094F2D">
      <w:pPr>
        <w:pStyle w:val="ListParagraph"/>
        <w:numPr>
          <w:ilvl w:val="2"/>
          <w:numId w:val="4"/>
        </w:numPr>
        <w:rPr>
          <w:rFonts w:eastAsia="Aptos" w:cs="Times New Roman"/>
          <w:color w:val="FF0000"/>
        </w:rPr>
      </w:pPr>
      <w:r w:rsidRPr="000C5537">
        <w:rPr>
          <w:rFonts w:eastAsia="Aptos" w:cs="Times New Roman"/>
          <w:color w:val="FF0000"/>
        </w:rPr>
        <w:t>Approved</w:t>
      </w:r>
    </w:p>
    <w:p w14:paraId="2708DE3E" w14:textId="71C5B887" w:rsidR="00BC108B" w:rsidRPr="000C5537" w:rsidRDefault="00BC108B" w:rsidP="007D6994">
      <w:pPr>
        <w:pStyle w:val="ListParagraph"/>
        <w:numPr>
          <w:ilvl w:val="0"/>
          <w:numId w:val="4"/>
        </w:numPr>
        <w:rPr>
          <w:rFonts w:eastAsia="Aptos" w:cs="Times New Roman"/>
          <w:b/>
          <w:bCs/>
        </w:rPr>
      </w:pPr>
      <w:r w:rsidRPr="000C5537">
        <w:rPr>
          <w:rFonts w:eastAsia="Aptos" w:cs="Times New Roman"/>
          <w:b/>
          <w:bCs/>
        </w:rPr>
        <w:t xml:space="preserve">EC Individual policy review assignments: </w:t>
      </w:r>
    </w:p>
    <w:p w14:paraId="1A42A5CD" w14:textId="69140B8B" w:rsidR="00BC108B" w:rsidRPr="000C5537" w:rsidRDefault="00BF4F10" w:rsidP="00BC108B">
      <w:pPr>
        <w:numPr>
          <w:ilvl w:val="0"/>
          <w:numId w:val="1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</w:rPr>
        <w:t xml:space="preserve">Red Line - </w:t>
      </w:r>
      <w:r w:rsidR="00BC108B" w:rsidRPr="000C5537">
        <w:rPr>
          <w:rFonts w:eastAsia="Aptos" w:cs="Times New Roman"/>
          <w:b/>
          <w:bCs/>
        </w:rPr>
        <w:t xml:space="preserve">Revised guidelines on academic institutes and academic </w:t>
      </w:r>
      <w:proofErr w:type="gramStart"/>
      <w:r w:rsidR="00BC108B" w:rsidRPr="000C5537">
        <w:rPr>
          <w:rFonts w:eastAsia="Aptos" w:cs="Times New Roman"/>
          <w:b/>
          <w:bCs/>
        </w:rPr>
        <w:t>centers</w:t>
      </w:r>
      <w:r w:rsidR="00BC108B" w:rsidRPr="000C5537">
        <w:rPr>
          <w:rFonts w:eastAsia="Aptos" w:cs="Times New Roman"/>
        </w:rPr>
        <w:t> </w:t>
      </w:r>
      <w:r w:rsidR="000C5537">
        <w:rPr>
          <w:rFonts w:eastAsia="Aptos" w:cs="Times New Roman"/>
        </w:rPr>
        <w:t xml:space="preserve"> --</w:t>
      </w:r>
      <w:proofErr w:type="gramEnd"/>
      <w:r w:rsidR="000C5537">
        <w:rPr>
          <w:rFonts w:eastAsia="Aptos" w:cs="Times New Roman"/>
        </w:rPr>
        <w:t xml:space="preserve"> </w:t>
      </w:r>
      <w:r w:rsidR="00BC108B" w:rsidRPr="000C5537">
        <w:rPr>
          <w:rFonts w:eastAsia="Aptos" w:cs="Times New Roman"/>
          <w:b/>
          <w:bCs/>
        </w:rPr>
        <w:t>EC</w:t>
      </w:r>
      <w:r w:rsidR="00BC108B" w:rsidRPr="000C5537">
        <w:rPr>
          <w:rFonts w:eastAsia="Aptos" w:cs="Times New Roman"/>
        </w:rPr>
        <w:t xml:space="preserve">  </w:t>
      </w:r>
    </w:p>
    <w:p w14:paraId="487571F7" w14:textId="70562AB3" w:rsidR="0004537E" w:rsidRPr="000C5537" w:rsidRDefault="0004537E" w:rsidP="0004537E">
      <w:pPr>
        <w:numPr>
          <w:ilvl w:val="1"/>
          <w:numId w:val="1"/>
        </w:numPr>
        <w:spacing w:after="0"/>
        <w:rPr>
          <w:rFonts w:eastAsia="Aptos" w:cs="Times New Roman"/>
          <w:color w:val="FF0000"/>
        </w:rPr>
      </w:pPr>
      <w:r w:rsidRPr="000C5537">
        <w:rPr>
          <w:rFonts w:eastAsia="Aptos" w:cs="Times New Roman"/>
          <w:color w:val="FF0000"/>
        </w:rPr>
        <w:t>Corrections and edits in yellow highlights</w:t>
      </w:r>
    </w:p>
    <w:p w14:paraId="59D53E40" w14:textId="128CE463" w:rsidR="00BC108B" w:rsidRPr="000C5537" w:rsidRDefault="00BC108B" w:rsidP="00BC108B">
      <w:pPr>
        <w:numPr>
          <w:ilvl w:val="0"/>
          <w:numId w:val="1"/>
        </w:numPr>
        <w:spacing w:after="0"/>
        <w:rPr>
          <w:rFonts w:eastAsia="Aptos" w:cs="Times New Roman"/>
        </w:rPr>
      </w:pPr>
      <w:r w:rsidRPr="000C5537">
        <w:rPr>
          <w:rFonts w:ascii="Arial" w:eastAsia="Aptos" w:hAnsi="Arial" w:cs="Arial"/>
          <w:b/>
          <w:bCs/>
        </w:rPr>
        <w:t> </w:t>
      </w:r>
      <w:r w:rsidRPr="000C5537">
        <w:rPr>
          <w:rFonts w:eastAsia="Aptos" w:cs="Times New Roman"/>
          <w:b/>
          <w:bCs/>
        </w:rPr>
        <w:t xml:space="preserve">Leave of absence without </w:t>
      </w:r>
      <w:proofErr w:type="gramStart"/>
      <w:r w:rsidRPr="000C5537">
        <w:rPr>
          <w:rFonts w:eastAsia="Aptos" w:cs="Times New Roman"/>
          <w:b/>
          <w:bCs/>
        </w:rPr>
        <w:t>compensation</w:t>
      </w:r>
      <w:r w:rsidRPr="000C5537">
        <w:rPr>
          <w:rFonts w:eastAsia="Aptos" w:cs="Times New Roman"/>
        </w:rPr>
        <w:t> </w:t>
      </w:r>
      <w:r w:rsidR="000C5537">
        <w:rPr>
          <w:rFonts w:eastAsia="Aptos" w:cs="Times New Roman"/>
          <w:b/>
          <w:bCs/>
        </w:rPr>
        <w:t xml:space="preserve"> --</w:t>
      </w:r>
      <w:proofErr w:type="gramEnd"/>
      <w:r w:rsidR="000C5537">
        <w:rPr>
          <w:rFonts w:eastAsia="Aptos" w:cs="Times New Roman"/>
          <w:b/>
          <w:bCs/>
        </w:rPr>
        <w:t xml:space="preserve"> </w:t>
      </w:r>
      <w:r w:rsidRPr="000C5537">
        <w:rPr>
          <w:rFonts w:eastAsia="Aptos" w:cs="Times New Roman"/>
          <w:b/>
          <w:bCs/>
        </w:rPr>
        <w:t>EC</w:t>
      </w:r>
      <w:r w:rsidRPr="000C5537">
        <w:rPr>
          <w:rFonts w:eastAsia="Aptos" w:cs="Times New Roman"/>
        </w:rPr>
        <w:t> </w:t>
      </w:r>
      <w:r w:rsidR="0003665B" w:rsidRPr="000C5537">
        <w:rPr>
          <w:rFonts w:eastAsia="Aptos" w:cs="Times New Roman"/>
        </w:rPr>
        <w:t>–</w:t>
      </w:r>
      <w:r w:rsidRPr="000C5537">
        <w:rPr>
          <w:rFonts w:eastAsia="Aptos" w:cs="Times New Roman"/>
        </w:rPr>
        <w:t xml:space="preserve"> </w:t>
      </w:r>
    </w:p>
    <w:p w14:paraId="1B700164" w14:textId="44ECEB03" w:rsidR="0003665B" w:rsidRPr="000C5537" w:rsidRDefault="00A63F79" w:rsidP="0003665B">
      <w:pPr>
        <w:numPr>
          <w:ilvl w:val="1"/>
          <w:numId w:val="1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color w:val="FF0000"/>
        </w:rPr>
        <w:t>Remove “clinical</w:t>
      </w:r>
      <w:r w:rsidRPr="000C5537">
        <w:rPr>
          <w:rFonts w:eastAsia="Aptos" w:cs="Times New Roman"/>
        </w:rPr>
        <w:t xml:space="preserve">.” </w:t>
      </w:r>
    </w:p>
    <w:p w14:paraId="66570437" w14:textId="56A26907" w:rsidR="00A63F79" w:rsidRPr="000C5537" w:rsidRDefault="00A63F79" w:rsidP="0003665B">
      <w:pPr>
        <w:numPr>
          <w:ilvl w:val="1"/>
          <w:numId w:val="1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color w:val="FF0000"/>
        </w:rPr>
        <w:t>Add “and/or the CEO of the Medical Group”</w:t>
      </w:r>
    </w:p>
    <w:p w14:paraId="45A8316F" w14:textId="11E7A0B8" w:rsidR="00A63F79" w:rsidRPr="000C5537" w:rsidRDefault="00A63F79" w:rsidP="0003665B">
      <w:pPr>
        <w:numPr>
          <w:ilvl w:val="1"/>
          <w:numId w:val="1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color w:val="FF0000"/>
        </w:rPr>
        <w:t xml:space="preserve">Clarify “medical programs” terminology with Luanne Bowmal </w:t>
      </w:r>
    </w:p>
    <w:p w14:paraId="1FFF143C" w14:textId="574D7876" w:rsidR="005759AC" w:rsidRPr="000C5537" w:rsidRDefault="005759AC" w:rsidP="0003665B">
      <w:pPr>
        <w:numPr>
          <w:ilvl w:val="1"/>
          <w:numId w:val="1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color w:val="FF0000"/>
        </w:rPr>
        <w:t xml:space="preserve">Remove “extended” </w:t>
      </w:r>
    </w:p>
    <w:p w14:paraId="04292591" w14:textId="422269F4" w:rsidR="00593648" w:rsidRPr="000C5537" w:rsidRDefault="00BC108B" w:rsidP="00BC108B">
      <w:pPr>
        <w:numPr>
          <w:ilvl w:val="0"/>
          <w:numId w:val="1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b/>
          <w:bCs/>
        </w:rPr>
        <w:t>Chief Departmental Advisor undergraduate education</w:t>
      </w:r>
      <w:r w:rsidRPr="000C5537">
        <w:rPr>
          <w:rFonts w:eastAsia="Aptos" w:cs="Times New Roman"/>
        </w:rPr>
        <w:t> -</w:t>
      </w:r>
      <w:r w:rsidR="000C5537">
        <w:rPr>
          <w:rFonts w:eastAsia="Aptos" w:cs="Times New Roman"/>
        </w:rPr>
        <w:t>-</w:t>
      </w:r>
      <w:r w:rsidRPr="000C5537">
        <w:rPr>
          <w:rFonts w:eastAsia="Aptos" w:cs="Times New Roman"/>
        </w:rPr>
        <w:t> </w:t>
      </w:r>
      <w:r w:rsidRPr="000C5537">
        <w:rPr>
          <w:rFonts w:eastAsia="Aptos" w:cs="Times New Roman"/>
          <w:b/>
          <w:bCs/>
        </w:rPr>
        <w:t>EC</w:t>
      </w:r>
      <w:r w:rsidRPr="000C5537">
        <w:rPr>
          <w:rFonts w:eastAsia="Aptos" w:cs="Times New Roman"/>
        </w:rPr>
        <w:t xml:space="preserve"> – </w:t>
      </w:r>
    </w:p>
    <w:p w14:paraId="767CAF66" w14:textId="77777777" w:rsidR="00593648" w:rsidRPr="00F457F3" w:rsidRDefault="00593648" w:rsidP="00593648">
      <w:pPr>
        <w:numPr>
          <w:ilvl w:val="1"/>
          <w:numId w:val="1"/>
        </w:numPr>
        <w:spacing w:after="0"/>
        <w:rPr>
          <w:rFonts w:eastAsia="Aptos" w:cs="Times New Roman"/>
          <w:color w:val="FF0000"/>
        </w:rPr>
      </w:pPr>
      <w:r w:rsidRPr="00F457F3">
        <w:rPr>
          <w:rFonts w:eastAsia="Aptos" w:cs="Times New Roman"/>
          <w:color w:val="FF0000"/>
        </w:rPr>
        <w:t>Need to clarify the differences in responsibilities between CDA and UPD</w:t>
      </w:r>
    </w:p>
    <w:p w14:paraId="248011FE" w14:textId="0BEF760A" w:rsidR="00593648" w:rsidRPr="00F457F3" w:rsidRDefault="00593648" w:rsidP="00593648">
      <w:pPr>
        <w:numPr>
          <w:ilvl w:val="1"/>
          <w:numId w:val="1"/>
        </w:numPr>
        <w:spacing w:after="0"/>
        <w:rPr>
          <w:rFonts w:eastAsia="Aptos" w:cs="Times New Roman"/>
          <w:color w:val="FF0000"/>
        </w:rPr>
      </w:pPr>
      <w:r w:rsidRPr="00F457F3">
        <w:rPr>
          <w:rFonts w:eastAsia="Aptos" w:cs="Times New Roman"/>
          <w:color w:val="FF0000"/>
        </w:rPr>
        <w:t>Probably need to change the CDA title</w:t>
      </w:r>
      <w:r w:rsidR="00FF2766" w:rsidRPr="00F457F3">
        <w:rPr>
          <w:rFonts w:eastAsia="Aptos" w:cs="Times New Roman"/>
          <w:color w:val="FF0000"/>
        </w:rPr>
        <w:t>,</w:t>
      </w:r>
      <w:r w:rsidRPr="00F457F3">
        <w:rPr>
          <w:rFonts w:eastAsia="Aptos" w:cs="Times New Roman"/>
          <w:color w:val="FF0000"/>
        </w:rPr>
        <w:t xml:space="preserve"> given that it covers programs and not just for department</w:t>
      </w:r>
    </w:p>
    <w:p w14:paraId="6A4811A6" w14:textId="62FCF1A6" w:rsidR="00593648" w:rsidRPr="00F457F3" w:rsidRDefault="00593648" w:rsidP="00593648">
      <w:pPr>
        <w:numPr>
          <w:ilvl w:val="1"/>
          <w:numId w:val="1"/>
        </w:numPr>
        <w:spacing w:after="0"/>
        <w:rPr>
          <w:rFonts w:eastAsia="Aptos" w:cs="Times New Roman"/>
          <w:color w:val="FF0000"/>
        </w:rPr>
      </w:pPr>
      <w:r w:rsidRPr="00F457F3">
        <w:rPr>
          <w:rFonts w:eastAsia="Aptos" w:cs="Times New Roman"/>
          <w:color w:val="FF0000"/>
        </w:rPr>
        <w:t xml:space="preserve">Need to clarify the advising part with the Centralized Advising </w:t>
      </w:r>
    </w:p>
    <w:p w14:paraId="5F140EC2" w14:textId="4AD92D99" w:rsidR="00BC108B" w:rsidRPr="00F457F3" w:rsidRDefault="00593648" w:rsidP="00593648">
      <w:pPr>
        <w:numPr>
          <w:ilvl w:val="1"/>
          <w:numId w:val="1"/>
        </w:numPr>
        <w:spacing w:after="0"/>
        <w:rPr>
          <w:rFonts w:eastAsia="Aptos" w:cs="Times New Roman"/>
          <w:color w:val="FF0000"/>
        </w:rPr>
      </w:pPr>
      <w:r w:rsidRPr="00F457F3">
        <w:rPr>
          <w:rFonts w:eastAsia="Aptos" w:cs="Times New Roman"/>
          <w:color w:val="FF0000"/>
        </w:rPr>
        <w:t xml:space="preserve">Sent </w:t>
      </w:r>
      <w:r w:rsidRPr="00F457F3">
        <w:rPr>
          <w:rFonts w:eastAsia="Aptos" w:cs="Times New Roman"/>
          <w:b/>
          <w:bCs/>
          <w:color w:val="FF0000"/>
        </w:rPr>
        <w:t xml:space="preserve">to </w:t>
      </w:r>
      <w:proofErr w:type="spellStart"/>
      <w:r w:rsidRPr="00F457F3">
        <w:rPr>
          <w:rFonts w:eastAsia="Aptos" w:cs="Times New Roman"/>
          <w:b/>
          <w:bCs/>
          <w:color w:val="FF0000"/>
        </w:rPr>
        <w:t>Cmte</w:t>
      </w:r>
      <w:proofErr w:type="spellEnd"/>
      <w:r w:rsidRPr="00F457F3">
        <w:rPr>
          <w:rFonts w:eastAsia="Aptos" w:cs="Times New Roman"/>
          <w:b/>
          <w:bCs/>
          <w:color w:val="FF0000"/>
        </w:rPr>
        <w:t xml:space="preserve"> B</w:t>
      </w:r>
      <w:r w:rsidR="00BC108B" w:rsidRPr="00F457F3">
        <w:rPr>
          <w:rFonts w:eastAsia="Aptos" w:cs="Times New Roman"/>
          <w:color w:val="FF0000"/>
        </w:rPr>
        <w:t xml:space="preserve"> </w:t>
      </w:r>
    </w:p>
    <w:p w14:paraId="1F87101B" w14:textId="7E0A6B55" w:rsidR="00BC108B" w:rsidRPr="000C5537" w:rsidRDefault="00BC108B" w:rsidP="00BC108B">
      <w:pPr>
        <w:numPr>
          <w:ilvl w:val="0"/>
          <w:numId w:val="1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b/>
          <w:bCs/>
        </w:rPr>
        <w:t>Eminent scholars</w:t>
      </w:r>
      <w:r w:rsidRPr="000C5537">
        <w:rPr>
          <w:rFonts w:eastAsia="Aptos" w:cs="Times New Roman"/>
        </w:rPr>
        <w:t> -</w:t>
      </w:r>
      <w:r w:rsidRPr="000C5537">
        <w:rPr>
          <w:rFonts w:eastAsia="Aptos" w:cs="Times New Roman"/>
          <w:b/>
          <w:bCs/>
        </w:rPr>
        <w:t> </w:t>
      </w:r>
      <w:r w:rsidR="000C5537">
        <w:rPr>
          <w:rFonts w:eastAsia="Aptos" w:cs="Times New Roman"/>
          <w:b/>
          <w:bCs/>
        </w:rPr>
        <w:t xml:space="preserve">- </w:t>
      </w:r>
      <w:r w:rsidRPr="000C5537">
        <w:rPr>
          <w:rFonts w:eastAsia="Aptos" w:cs="Times New Roman"/>
          <w:b/>
          <w:bCs/>
        </w:rPr>
        <w:t>EC</w:t>
      </w:r>
      <w:r w:rsidRPr="000C5537">
        <w:rPr>
          <w:rFonts w:eastAsia="Aptos" w:cs="Times New Roman"/>
        </w:rPr>
        <w:t> </w:t>
      </w:r>
      <w:r w:rsidR="00C9038F" w:rsidRPr="000C5537">
        <w:rPr>
          <w:rFonts w:eastAsia="Aptos" w:cs="Times New Roman"/>
        </w:rPr>
        <w:t>–</w:t>
      </w:r>
      <w:r w:rsidRPr="000C5537">
        <w:rPr>
          <w:rFonts w:eastAsia="Aptos" w:cs="Times New Roman"/>
        </w:rPr>
        <w:t xml:space="preserve"> </w:t>
      </w:r>
    </w:p>
    <w:p w14:paraId="65A3703B" w14:textId="2CAED807" w:rsidR="00C9038F" w:rsidRPr="000C5537" w:rsidRDefault="00C9038F" w:rsidP="00C9038F">
      <w:pPr>
        <w:numPr>
          <w:ilvl w:val="1"/>
          <w:numId w:val="1"/>
        </w:numPr>
        <w:spacing w:after="0"/>
        <w:rPr>
          <w:rFonts w:eastAsia="Aptos" w:cs="Times New Roman"/>
          <w:color w:val="FF0000"/>
        </w:rPr>
      </w:pPr>
      <w:r w:rsidRPr="000C5537">
        <w:rPr>
          <w:rFonts w:eastAsia="Aptos" w:cs="Times New Roman"/>
          <w:color w:val="FF0000"/>
        </w:rPr>
        <w:t xml:space="preserve">Changed to have only “tenured full professors” eligible </w:t>
      </w:r>
    </w:p>
    <w:p w14:paraId="1B81974E" w14:textId="66CE3437" w:rsidR="00BC108B" w:rsidRPr="000C5537" w:rsidRDefault="00BC108B" w:rsidP="00BC108B">
      <w:pPr>
        <w:numPr>
          <w:ilvl w:val="0"/>
          <w:numId w:val="1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b/>
          <w:bCs/>
        </w:rPr>
        <w:t>GAC</w:t>
      </w:r>
      <w:r w:rsidRPr="000C5537">
        <w:rPr>
          <w:rFonts w:eastAsia="Aptos" w:cs="Times New Roman"/>
        </w:rPr>
        <w:t> – </w:t>
      </w:r>
      <w:r w:rsidRPr="000C5537">
        <w:rPr>
          <w:rFonts w:eastAsia="Aptos" w:cs="Times New Roman"/>
          <w:b/>
          <w:bCs/>
        </w:rPr>
        <w:t>EC</w:t>
      </w:r>
      <w:r w:rsidRPr="000C5537">
        <w:rPr>
          <w:rFonts w:eastAsia="Aptos" w:cs="Times New Roman"/>
        </w:rPr>
        <w:t xml:space="preserve">: </w:t>
      </w:r>
    </w:p>
    <w:p w14:paraId="6EEB9763" w14:textId="77777777" w:rsidR="000C5537" w:rsidRPr="000C5537" w:rsidRDefault="00BC108B" w:rsidP="00BC108B">
      <w:pPr>
        <w:numPr>
          <w:ilvl w:val="4"/>
          <w:numId w:val="2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b/>
          <w:bCs/>
        </w:rPr>
        <w:t>Change of degree program</w:t>
      </w:r>
      <w:r w:rsidRPr="000C5537">
        <w:rPr>
          <w:rFonts w:eastAsia="Aptos" w:cs="Times New Roman"/>
        </w:rPr>
        <w:t> </w:t>
      </w:r>
      <w:r w:rsidR="0004537E" w:rsidRPr="000C5537">
        <w:rPr>
          <w:rFonts w:eastAsia="Aptos" w:cs="Times New Roman"/>
        </w:rPr>
        <w:t xml:space="preserve">– </w:t>
      </w:r>
    </w:p>
    <w:p w14:paraId="5596475A" w14:textId="46240549" w:rsidR="00BC108B" w:rsidRPr="000C5537" w:rsidRDefault="0004537E" w:rsidP="000C5537">
      <w:pPr>
        <w:numPr>
          <w:ilvl w:val="5"/>
          <w:numId w:val="2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color w:val="FF0000"/>
        </w:rPr>
        <w:t>accept as presented</w:t>
      </w:r>
    </w:p>
    <w:p w14:paraId="3F9487FA" w14:textId="42A9FC24" w:rsidR="000C5537" w:rsidRPr="000C5537" w:rsidRDefault="00BC108B" w:rsidP="00BC108B">
      <w:pPr>
        <w:numPr>
          <w:ilvl w:val="4"/>
          <w:numId w:val="2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b/>
          <w:bCs/>
        </w:rPr>
        <w:t>Email communications</w:t>
      </w:r>
      <w:r w:rsidRPr="000C5537">
        <w:rPr>
          <w:rFonts w:eastAsia="Aptos" w:cs="Times New Roman"/>
        </w:rPr>
        <w:t> </w:t>
      </w:r>
      <w:r w:rsidR="000C5537" w:rsidRPr="000C5537">
        <w:rPr>
          <w:rFonts w:eastAsia="Aptos" w:cs="Times New Roman"/>
        </w:rPr>
        <w:t>–</w:t>
      </w:r>
      <w:r w:rsidR="0004537E" w:rsidRPr="000C5537">
        <w:rPr>
          <w:rFonts w:eastAsia="Aptos" w:cs="Times New Roman"/>
        </w:rPr>
        <w:t xml:space="preserve"> </w:t>
      </w:r>
    </w:p>
    <w:p w14:paraId="013C347F" w14:textId="5F1B90F2" w:rsidR="00BC108B" w:rsidRPr="000C5537" w:rsidRDefault="0004537E" w:rsidP="000C5537">
      <w:pPr>
        <w:numPr>
          <w:ilvl w:val="5"/>
          <w:numId w:val="2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color w:val="FF0000"/>
        </w:rPr>
        <w:t>accept as presented</w:t>
      </w:r>
    </w:p>
    <w:p w14:paraId="7DB695B8" w14:textId="77090CC3" w:rsidR="00BC108B" w:rsidRPr="000C5537" w:rsidRDefault="00BC108B" w:rsidP="00BC108B">
      <w:pPr>
        <w:numPr>
          <w:ilvl w:val="4"/>
          <w:numId w:val="2"/>
        </w:numPr>
        <w:spacing w:after="0"/>
        <w:rPr>
          <w:rFonts w:eastAsia="Aptos" w:cs="Times New Roman"/>
          <w:b/>
          <w:bCs/>
        </w:rPr>
      </w:pPr>
      <w:r w:rsidRPr="000C5537">
        <w:rPr>
          <w:rFonts w:eastAsia="Aptos" w:cs="Times New Roman"/>
          <w:b/>
          <w:bCs/>
        </w:rPr>
        <w:t>Drug and alcohol screening </w:t>
      </w:r>
    </w:p>
    <w:p w14:paraId="55E2D7F7" w14:textId="70FC7AF9" w:rsidR="007A2577" w:rsidRPr="000C5537" w:rsidRDefault="007A2577" w:rsidP="007A2577">
      <w:pPr>
        <w:numPr>
          <w:ilvl w:val="5"/>
          <w:numId w:val="2"/>
        </w:numPr>
        <w:spacing w:after="0"/>
        <w:rPr>
          <w:rFonts w:eastAsia="Aptos" w:cs="Times New Roman"/>
        </w:rPr>
      </w:pPr>
      <w:r w:rsidRPr="000C5537">
        <w:rPr>
          <w:rFonts w:eastAsia="Aptos" w:cs="Times New Roman"/>
          <w:color w:val="FF0000"/>
        </w:rPr>
        <w:t>Insert: program handbook/graduate catalog</w:t>
      </w:r>
    </w:p>
    <w:p w14:paraId="609AACC7" w14:textId="77777777" w:rsidR="00BC108B" w:rsidRPr="000C5537" w:rsidRDefault="00BC108B" w:rsidP="00BC108B">
      <w:pPr>
        <w:numPr>
          <w:ilvl w:val="4"/>
          <w:numId w:val="2"/>
        </w:numPr>
        <w:spacing w:after="0"/>
        <w:rPr>
          <w:rFonts w:eastAsia="Aptos" w:cs="Times New Roman"/>
          <w:b/>
          <w:bCs/>
        </w:rPr>
      </w:pPr>
      <w:r w:rsidRPr="000C5537">
        <w:rPr>
          <w:rFonts w:eastAsia="Aptos" w:cs="Times New Roman"/>
          <w:b/>
          <w:bCs/>
        </w:rPr>
        <w:t>Graduate pass-fail </w:t>
      </w:r>
    </w:p>
    <w:p w14:paraId="4F23D413" w14:textId="53FCB256" w:rsidR="007A2577" w:rsidRPr="000C5537" w:rsidRDefault="007A2577" w:rsidP="007A2577">
      <w:pPr>
        <w:numPr>
          <w:ilvl w:val="5"/>
          <w:numId w:val="2"/>
        </w:numPr>
        <w:spacing w:after="0"/>
        <w:rPr>
          <w:rFonts w:eastAsia="Aptos" w:cs="Times New Roman"/>
          <w:color w:val="FF0000"/>
        </w:rPr>
      </w:pPr>
      <w:r w:rsidRPr="000C5537">
        <w:rPr>
          <w:rFonts w:eastAsia="Aptos" w:cs="Times New Roman"/>
          <w:color w:val="FF0000"/>
        </w:rPr>
        <w:t xml:space="preserve">Delete </w:t>
      </w:r>
      <w:r w:rsidR="00CF7890" w:rsidRPr="000C5537">
        <w:rPr>
          <w:rFonts w:eastAsia="Aptos" w:cs="Times New Roman"/>
          <w:color w:val="FF0000"/>
        </w:rPr>
        <w:t xml:space="preserve">the </w:t>
      </w:r>
      <w:r w:rsidRPr="000C5537">
        <w:rPr>
          <w:rFonts w:eastAsia="Aptos" w:cs="Times New Roman"/>
          <w:color w:val="FF0000"/>
        </w:rPr>
        <w:t>first highlighted</w:t>
      </w:r>
      <w:r w:rsidR="00CF7890" w:rsidRPr="000C5537">
        <w:rPr>
          <w:rFonts w:eastAsia="Aptos" w:cs="Times New Roman"/>
          <w:color w:val="FF0000"/>
        </w:rPr>
        <w:t xml:space="preserve"> part</w:t>
      </w:r>
    </w:p>
    <w:p w14:paraId="1589F6E5" w14:textId="3A9BEE8B" w:rsidR="007A2577" w:rsidRPr="000C5537" w:rsidRDefault="007A2577" w:rsidP="007A2577">
      <w:pPr>
        <w:numPr>
          <w:ilvl w:val="5"/>
          <w:numId w:val="2"/>
        </w:numPr>
        <w:spacing w:after="0"/>
        <w:rPr>
          <w:rFonts w:eastAsia="Aptos" w:cs="Times New Roman"/>
          <w:color w:val="FF0000"/>
        </w:rPr>
      </w:pPr>
      <w:r w:rsidRPr="000C5537">
        <w:rPr>
          <w:rFonts w:eastAsia="Aptos" w:cs="Times New Roman"/>
          <w:color w:val="FF0000"/>
        </w:rPr>
        <w:lastRenderedPageBreak/>
        <w:t>CHANGE TO “UP TO THE DROP DATE” in second highlights</w:t>
      </w:r>
    </w:p>
    <w:p w14:paraId="2D2DD351" w14:textId="77777777" w:rsidR="007A2577" w:rsidRPr="000C5537" w:rsidRDefault="00BC108B" w:rsidP="00BC108B">
      <w:pPr>
        <w:numPr>
          <w:ilvl w:val="4"/>
          <w:numId w:val="2"/>
        </w:numPr>
        <w:spacing w:after="0"/>
        <w:rPr>
          <w:rFonts w:eastAsia="Aptos" w:cs="Times New Roman"/>
          <w:b/>
          <w:bCs/>
        </w:rPr>
      </w:pPr>
      <w:r w:rsidRPr="000C5537">
        <w:rPr>
          <w:rFonts w:eastAsia="Aptos" w:cs="Times New Roman"/>
          <w:b/>
          <w:bCs/>
        </w:rPr>
        <w:t>International graduate admissions</w:t>
      </w:r>
    </w:p>
    <w:p w14:paraId="28E33A1E" w14:textId="55D5C1F8" w:rsidR="00BC108B" w:rsidRPr="000C5537" w:rsidRDefault="0003665B" w:rsidP="007A2577">
      <w:pPr>
        <w:numPr>
          <w:ilvl w:val="5"/>
          <w:numId w:val="2"/>
        </w:numPr>
        <w:spacing w:after="0"/>
        <w:rPr>
          <w:rFonts w:eastAsia="Aptos" w:cs="Times New Roman"/>
          <w:color w:val="FF0000"/>
        </w:rPr>
      </w:pPr>
      <w:r w:rsidRPr="000C5537">
        <w:rPr>
          <w:rFonts w:eastAsia="Aptos" w:cs="Times New Roman"/>
          <w:color w:val="FF0000"/>
        </w:rPr>
        <w:t>Changes in yellow</w:t>
      </w:r>
      <w:r w:rsidR="00BC108B" w:rsidRPr="000C5537">
        <w:rPr>
          <w:rFonts w:eastAsia="Aptos" w:cs="Times New Roman"/>
          <w:color w:val="FF0000"/>
        </w:rPr>
        <w:t> </w:t>
      </w:r>
    </w:p>
    <w:p w14:paraId="4E4ECB2A" w14:textId="77777777" w:rsidR="00BC108B" w:rsidRPr="000C5537" w:rsidRDefault="00BC108B"/>
    <w:sectPr w:rsidR="00BC108B" w:rsidRPr="000C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1472D"/>
    <w:multiLevelType w:val="hybridMultilevel"/>
    <w:tmpl w:val="BD3E9D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27DFF"/>
    <w:multiLevelType w:val="hybridMultilevel"/>
    <w:tmpl w:val="82101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4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4FBA"/>
    <w:multiLevelType w:val="hybridMultilevel"/>
    <w:tmpl w:val="D0D87264"/>
    <w:lvl w:ilvl="0" w:tplc="A8C8B4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329F5"/>
    <w:multiLevelType w:val="hybridMultilevel"/>
    <w:tmpl w:val="0062F060"/>
    <w:lvl w:ilvl="0" w:tplc="A7FAA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7373">
    <w:abstractNumId w:val="2"/>
  </w:num>
  <w:num w:numId="2" w16cid:durableId="1688944335">
    <w:abstractNumId w:val="1"/>
  </w:num>
  <w:num w:numId="3" w16cid:durableId="1024669934">
    <w:abstractNumId w:val="3"/>
  </w:num>
  <w:num w:numId="4" w16cid:durableId="103581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8B"/>
    <w:rsid w:val="0003665B"/>
    <w:rsid w:val="0004537E"/>
    <w:rsid w:val="00094F2D"/>
    <w:rsid w:val="000C5537"/>
    <w:rsid w:val="002242AB"/>
    <w:rsid w:val="003379EB"/>
    <w:rsid w:val="0042104D"/>
    <w:rsid w:val="005170F9"/>
    <w:rsid w:val="005574B4"/>
    <w:rsid w:val="005759AC"/>
    <w:rsid w:val="00593648"/>
    <w:rsid w:val="005C714B"/>
    <w:rsid w:val="006B7E66"/>
    <w:rsid w:val="007A2577"/>
    <w:rsid w:val="007D6994"/>
    <w:rsid w:val="00835A3B"/>
    <w:rsid w:val="008D6B3C"/>
    <w:rsid w:val="00A21D4F"/>
    <w:rsid w:val="00A63F79"/>
    <w:rsid w:val="00B51554"/>
    <w:rsid w:val="00BC108B"/>
    <w:rsid w:val="00BF4F10"/>
    <w:rsid w:val="00C03114"/>
    <w:rsid w:val="00C9038F"/>
    <w:rsid w:val="00CF7890"/>
    <w:rsid w:val="00D3778B"/>
    <w:rsid w:val="00F35552"/>
    <w:rsid w:val="00F457F3"/>
    <w:rsid w:val="00F60FBA"/>
    <w:rsid w:val="00F8382E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173A"/>
  <w15:chartTrackingRefBased/>
  <w15:docId w15:val="{4627E719-6EFE-4C26-B265-B4F70343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7758</TotalTime>
  <Pages>2</Pages>
  <Words>232</Words>
  <Characters>1290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Lobova, Tatyana A.</dc:creator>
  <cp:keywords/>
  <dc:description/>
  <cp:lastModifiedBy>Lobova, Tatyana A.</cp:lastModifiedBy>
  <cp:revision>19</cp:revision>
  <dcterms:created xsi:type="dcterms:W3CDTF">2025-12-18T16:16:00Z</dcterms:created>
  <dcterms:modified xsi:type="dcterms:W3CDTF">2026-01-20T00:08:00Z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f2f0a146-c48e-4616-b07d-392a958606ba</vt:lpwstr>
  </property>
</Properties>
</file>