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AD" w:rsidRDefault="00AE1FF9">
      <w:pPr>
        <w:pStyle w:val="Body"/>
        <w:spacing w:after="8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Faculty Senate Meeting</w:t>
      </w:r>
    </w:p>
    <w:p w:rsidR="00EA29AD" w:rsidRDefault="00AE1FF9">
      <w:pPr>
        <w:pStyle w:val="Body"/>
        <w:spacing w:after="8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:rsidR="00EA29AD" w:rsidRDefault="00AE1FF9">
      <w:pPr>
        <w:pStyle w:val="Body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20, 2015</w:t>
      </w:r>
    </w:p>
    <w:p w:rsidR="00EA29AD" w:rsidRDefault="00AE1FF9">
      <w:pPr>
        <w:pStyle w:val="Body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Hofheimer Hall - 7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  <w:lang w:val="nl-NL"/>
        </w:rPr>
        <w:t xml:space="preserve"> Floor </w:t>
      </w:r>
      <w:r>
        <w:rPr>
          <w:b/>
          <w:bCs/>
          <w:sz w:val="24"/>
          <w:szCs w:val="24"/>
        </w:rPr>
        <w:t>– 5:00 pm</w:t>
      </w:r>
    </w:p>
    <w:p w:rsidR="00EA29AD" w:rsidRDefault="00EA29AD">
      <w:pPr>
        <w:pStyle w:val="Body"/>
        <w:spacing w:after="80" w:line="240" w:lineRule="auto"/>
        <w:rPr>
          <w:b/>
          <w:bCs/>
          <w:sz w:val="24"/>
          <w:szCs w:val="24"/>
        </w:rPr>
      </w:pPr>
    </w:p>
    <w:p w:rsidR="00EA29AD" w:rsidRDefault="00AE1FF9">
      <w:pPr>
        <w:pStyle w:val="Body"/>
        <w:spacing w:after="80" w:line="240" w:lineRule="auto"/>
        <w:rPr>
          <w:b/>
          <w:bCs/>
          <w:sz w:val="24"/>
          <w:szCs w:val="24"/>
        </w:rPr>
      </w:pPr>
      <w:r>
        <w:rPr>
          <w:rFonts w:ascii="Trebuchet MS"/>
          <w:sz w:val="24"/>
          <w:szCs w:val="24"/>
        </w:rPr>
        <w:t>Present: Carroll, Bryan; Cunnion, Kenji; Daniel, Dianne; Derkay, Craig; Handel, Richard; Lattanzio, Frank; Troy, Stephanie; Wellman, Laurie. Guests: Dr. Elza Mylona; Dr. Harry Tillman</w:t>
      </w:r>
    </w:p>
    <w:p w:rsidR="00EA29AD" w:rsidRDefault="00EA29AD">
      <w:pPr>
        <w:pStyle w:val="Body"/>
        <w:spacing w:after="80" w:line="240" w:lineRule="auto"/>
        <w:rPr>
          <w:sz w:val="24"/>
          <w:szCs w:val="24"/>
        </w:rPr>
      </w:pPr>
    </w:p>
    <w:p w:rsidR="00EA29AD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Call to Order</w:t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  <w:t>Lattanzio</w:t>
      </w:r>
    </w:p>
    <w:p w:rsidR="00EA29AD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Approval of Minutes From the Previous Meeting</w:t>
      </w:r>
    </w:p>
    <w:p w:rsidR="00EA29AD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Guest Speaker</w:t>
      </w:r>
    </w:p>
    <w:p w:rsidR="00EA29AD" w:rsidRDefault="00AE1FF9">
      <w:pPr>
        <w:pStyle w:val="ListParagraph"/>
        <w:numPr>
          <w:ilvl w:val="1"/>
          <w:numId w:val="4"/>
        </w:numPr>
        <w:tabs>
          <w:tab w:val="clear" w:pos="1800"/>
          <w:tab w:val="num" w:pos="177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 xml:space="preserve">Dr. Tillman </w:t>
      </w:r>
      <w:r>
        <w:rPr>
          <w:rFonts w:hAnsi="Arial Unicode MS"/>
          <w:sz w:val="24"/>
          <w:szCs w:val="24"/>
        </w:rPr>
        <w:t>–</w:t>
      </w:r>
      <w:r>
        <w:rPr>
          <w:rFonts w:hAnsi="Arial Unicode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IRB follow up from October</w:t>
      </w:r>
    </w:p>
    <w:p w:rsidR="00EA29AD" w:rsidRDefault="00AE1FF9">
      <w:pPr>
        <w:pStyle w:val="ListParagraph"/>
        <w:numPr>
          <w:ilvl w:val="2"/>
          <w:numId w:val="6"/>
        </w:numPr>
        <w:tabs>
          <w:tab w:val="clear" w:pos="252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update - strategic plan handout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Direct submission of funded studies to Chesapeake IRB Review Inc.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Educational outreach - research coordinators, resident/fellow didactics, CHKD summer scholars program, faculty leadership forums, research bootcamp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2 holistic full-service IRBs, each with dedicated admin person, 3 vice chairs (M-Th someone can sign off on revisions, etc)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SOP manual updated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IRB forms - revision in progress, to be posted soon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Retrospective chart reviews - signed off in IRB office (no longer to subcommittee)</w:t>
      </w:r>
    </w:p>
    <w:p w:rsidR="00EA29AD" w:rsidRDefault="00AE1FF9">
      <w:pPr>
        <w:pStyle w:val="ListParagraph"/>
        <w:numPr>
          <w:ilvl w:val="3"/>
          <w:numId w:val="6"/>
        </w:numPr>
        <w:tabs>
          <w:tab w:val="clear" w:pos="3240"/>
          <w:tab w:val="num" w:pos="3210"/>
        </w:tabs>
        <w:spacing w:after="80" w:line="360" w:lineRule="auto"/>
        <w:ind w:left="321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Meeting with W&amp;M, ODU re: joint studies/review process</w:t>
      </w:r>
    </w:p>
    <w:p w:rsidR="00EA29AD" w:rsidRDefault="00AE1FF9">
      <w:pPr>
        <w:pStyle w:val="ListParagraph"/>
        <w:numPr>
          <w:ilvl w:val="2"/>
          <w:numId w:val="6"/>
        </w:numPr>
        <w:tabs>
          <w:tab w:val="clear" w:pos="252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lastRenderedPageBreak/>
        <w:t>Will plan to update fac senate in Oct 2015 again</w:t>
      </w:r>
    </w:p>
    <w:p w:rsidR="00EA29AD" w:rsidRDefault="00AE1FF9">
      <w:pPr>
        <w:pStyle w:val="ListParagraph"/>
        <w:numPr>
          <w:ilvl w:val="2"/>
          <w:numId w:val="6"/>
        </w:numPr>
        <w:tabs>
          <w:tab w:val="clear" w:pos="252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 IRB of record for Sentara, Bon Secours, EVMS is EVMS. e.g. SNGH - routing form goes to Dr. Chidester (?knowledge among investigators? - will be on approval letter</w:t>
      </w:r>
    </w:p>
    <w:p w:rsidR="00EA29AD" w:rsidRDefault="00AE1FF9">
      <w:pPr>
        <w:pStyle w:val="ListParagraph"/>
        <w:numPr>
          <w:ilvl w:val="2"/>
          <w:numId w:val="6"/>
        </w:numPr>
        <w:tabs>
          <w:tab w:val="clear" w:pos="252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Suggestion - communicate changes to faculty via EVMS news (email)</w:t>
      </w:r>
    </w:p>
    <w:p w:rsidR="00EA29AD" w:rsidRDefault="00AE1FF9">
      <w:pPr>
        <w:pStyle w:val="ListParagraph"/>
        <w:numPr>
          <w:ilvl w:val="2"/>
          <w:numId w:val="6"/>
        </w:numPr>
        <w:tabs>
          <w:tab w:val="clear" w:pos="252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Suggestion - helpful to send comments received re: national studies to Dr. Tillman</w:t>
      </w:r>
    </w:p>
    <w:p w:rsidR="00EA29AD" w:rsidRDefault="00AE1FF9">
      <w:pPr>
        <w:pStyle w:val="ListParagraph"/>
        <w:numPr>
          <w:ilvl w:val="1"/>
          <w:numId w:val="7"/>
        </w:numPr>
        <w:tabs>
          <w:tab w:val="clear" w:pos="1800"/>
          <w:tab w:val="num" w:pos="177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Dr. Mylona (Office of Faculty Affairs)</w:t>
      </w: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Committee Report</w:t>
      </w:r>
    </w:p>
    <w:p w:rsidR="00EA29AD" w:rsidRDefault="00AE1FF9">
      <w:pPr>
        <w:pStyle w:val="NormalWeb"/>
        <w:numPr>
          <w:ilvl w:val="0"/>
          <w:numId w:val="11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Dean’s Meeting</w:t>
      </w:r>
    </w:p>
    <w:p w:rsidR="00EA29AD" w:rsidRDefault="00AE1FF9">
      <w:pPr>
        <w:pStyle w:val="NormalWeb"/>
        <w:numPr>
          <w:ilvl w:val="1"/>
          <w:numId w:val="13"/>
        </w:numPr>
        <w:tabs>
          <w:tab w:val="num" w:pos="2160"/>
        </w:tabs>
        <w:ind w:left="216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Curriculum review - document ready approx June for fac senate</w:t>
      </w:r>
    </w:p>
    <w:p w:rsidR="00EA29AD" w:rsidRDefault="00AE1FF9">
      <w:pPr>
        <w:pStyle w:val="NormalWeb"/>
        <w:numPr>
          <w:ilvl w:val="2"/>
          <w:numId w:val="14"/>
        </w:numPr>
        <w:tabs>
          <w:tab w:val="num" w:pos="2880"/>
        </w:tabs>
        <w:ind w:left="288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Faculty retreat 5/1/15, also June, to start 2016</w:t>
      </w:r>
    </w:p>
    <w:p w:rsidR="00EA29AD" w:rsidRDefault="00AE1FF9">
      <w:pPr>
        <w:pStyle w:val="NormalWeb"/>
        <w:numPr>
          <w:ilvl w:val="2"/>
          <w:numId w:val="15"/>
        </w:numPr>
        <w:tabs>
          <w:tab w:val="num" w:pos="2880"/>
        </w:tabs>
        <w:ind w:left="288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Focus on increasing clinical involvement</w:t>
      </w:r>
    </w:p>
    <w:p w:rsidR="00EA29AD" w:rsidRDefault="00AE1FF9">
      <w:pPr>
        <w:pStyle w:val="NormalWeb"/>
        <w:numPr>
          <w:ilvl w:val="2"/>
          <w:numId w:val="16"/>
        </w:numPr>
        <w:tabs>
          <w:tab w:val="num" w:pos="2880"/>
        </w:tabs>
        <w:ind w:left="288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Concerns - overlap of new/old curriculum, faculty resources</w:t>
      </w:r>
    </w:p>
    <w:p w:rsidR="00EA29AD" w:rsidRDefault="00AE1FF9">
      <w:pPr>
        <w:pStyle w:val="NormalWeb"/>
        <w:numPr>
          <w:ilvl w:val="2"/>
          <w:numId w:val="17"/>
        </w:numPr>
        <w:tabs>
          <w:tab w:val="num" w:pos="2880"/>
        </w:tabs>
        <w:ind w:left="288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Emphasis on service learning, projects/research</w:t>
      </w:r>
    </w:p>
    <w:p w:rsidR="00EA29AD" w:rsidRDefault="00AE1FF9">
      <w:pPr>
        <w:pStyle w:val="NormalWeb"/>
        <w:numPr>
          <w:ilvl w:val="2"/>
          <w:numId w:val="18"/>
        </w:numPr>
        <w:tabs>
          <w:tab w:val="num" w:pos="2880"/>
        </w:tabs>
        <w:ind w:left="288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Concern - financial support for involvement of clinical faculty</w:t>
      </w:r>
    </w:p>
    <w:p w:rsidR="00EA29AD" w:rsidRDefault="00AE1FF9">
      <w:pPr>
        <w:pStyle w:val="NormalWeb"/>
        <w:numPr>
          <w:ilvl w:val="1"/>
          <w:numId w:val="19"/>
        </w:numPr>
        <w:tabs>
          <w:tab w:val="num" w:pos="2160"/>
        </w:tabs>
        <w:ind w:left="216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Air circulation Lewis Hall - monitoring for mold, 2 faculty sick - second floor - cleaning ductwork - concern re: cell cultures</w:t>
      </w:r>
    </w:p>
    <w:p w:rsidR="00EA29AD" w:rsidRDefault="00AE1FF9">
      <w:pPr>
        <w:pStyle w:val="NormalWeb"/>
        <w:numPr>
          <w:ilvl w:val="1"/>
          <w:numId w:val="20"/>
        </w:numPr>
        <w:tabs>
          <w:tab w:val="num" w:pos="2160"/>
        </w:tabs>
        <w:ind w:left="216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Match day - all students matched (7 in second round)</w:t>
      </w:r>
    </w:p>
    <w:p w:rsidR="00EA29AD" w:rsidRDefault="00AE1FF9">
      <w:pPr>
        <w:pStyle w:val="NormalWeb"/>
        <w:numPr>
          <w:ilvl w:val="0"/>
          <w:numId w:val="21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Academic Affairs</w:t>
      </w:r>
    </w:p>
    <w:p w:rsidR="00EA29AD" w:rsidRDefault="00AE1FF9">
      <w:pPr>
        <w:pStyle w:val="NormalWeb"/>
        <w:numPr>
          <w:ilvl w:val="0"/>
          <w:numId w:val="22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</w:rPr>
        <w:t>Finance Committee</w:t>
      </w:r>
    </w:p>
    <w:p w:rsidR="00EA29AD" w:rsidRDefault="00EA29AD">
      <w:pPr>
        <w:pStyle w:val="NormalWeb"/>
        <w:ind w:left="1440"/>
        <w:rPr>
          <w:rFonts w:ascii="Calibri" w:eastAsia="Calibri" w:hAnsi="Calibri" w:cs="Calibri"/>
        </w:rPr>
      </w:pP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New Business</w:t>
      </w:r>
    </w:p>
    <w:p w:rsidR="00EA29AD" w:rsidRDefault="00AE1FF9">
      <w:pPr>
        <w:pStyle w:val="ListParagraph"/>
        <w:numPr>
          <w:ilvl w:val="1"/>
          <w:numId w:val="23"/>
        </w:numPr>
        <w:tabs>
          <w:tab w:val="clear" w:pos="1800"/>
          <w:tab w:val="num" w:pos="177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Nominations for exec committee for next year - email Lattanzio</w:t>
      </w: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Old Business</w:t>
      </w: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sz w:val="24"/>
          <w:szCs w:val="24"/>
        </w:rPr>
      </w:pPr>
      <w:r>
        <w:rPr>
          <w:rFonts w:ascii="Trebuchet MS"/>
          <w:sz w:val="24"/>
          <w:szCs w:val="24"/>
        </w:rPr>
        <w:t>Adjourn</w:t>
      </w:r>
    </w:p>
    <w:p w:rsidR="009137AE" w:rsidRDefault="009137AE" w:rsidP="009137AE">
      <w:pPr>
        <w:pStyle w:val="Body"/>
        <w:spacing w:after="80" w:line="360" w:lineRule="auto"/>
        <w:jc w:val="center"/>
        <w:rPr>
          <w:rFonts w:ascii="Trebuchet MS"/>
          <w:sz w:val="24"/>
          <w:szCs w:val="24"/>
        </w:rPr>
      </w:pPr>
    </w:p>
    <w:p w:rsidR="00EA29AD" w:rsidRPr="009137AE" w:rsidRDefault="00AE1FF9" w:rsidP="009137AE">
      <w:pPr>
        <w:pStyle w:val="Body"/>
        <w:spacing w:after="80" w:line="360" w:lineRule="auto"/>
        <w:jc w:val="center"/>
        <w:rPr>
          <w:sz w:val="24"/>
          <w:szCs w:val="24"/>
        </w:rPr>
      </w:pPr>
      <w:r>
        <w:rPr>
          <w:rFonts w:ascii="Trebuchet MS"/>
          <w:sz w:val="24"/>
          <w:szCs w:val="24"/>
        </w:rPr>
        <w:t>Next Meeting May 18, 2015</w:t>
      </w:r>
    </w:p>
    <w:sectPr w:rsidR="00EA29AD" w:rsidRPr="009137AE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AC" w:rsidRDefault="00C73AAC">
      <w:r>
        <w:separator/>
      </w:r>
    </w:p>
  </w:endnote>
  <w:endnote w:type="continuationSeparator" w:id="0">
    <w:p w:rsidR="00C73AAC" w:rsidRDefault="00C7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AD" w:rsidRDefault="00EA29A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AC" w:rsidRDefault="00C73AAC">
      <w:r>
        <w:separator/>
      </w:r>
    </w:p>
  </w:footnote>
  <w:footnote w:type="continuationSeparator" w:id="0">
    <w:p w:rsidR="00C73AAC" w:rsidRDefault="00C7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AD" w:rsidRDefault="00AE1FF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>
    <w:nsid w:val="2C43380E"/>
    <w:multiLevelType w:val="multilevel"/>
    <w:tmpl w:val="4B705990"/>
    <w:styleLink w:val="List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8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9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0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1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2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3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4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5">
    <w:nsid w:val="5D391D82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6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7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8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9"/>
  </w:num>
  <w:num w:numId="7">
    <w:abstractNumId w:val="22"/>
  </w:num>
  <w:num w:numId="8">
    <w:abstractNumId w:val="7"/>
  </w:num>
  <w:num w:numId="9">
    <w:abstractNumId w:val="6"/>
  </w:num>
  <w:num w:numId="10">
    <w:abstractNumId w:val="18"/>
  </w:num>
  <w:num w:numId="11">
    <w:abstractNumId w:val="21"/>
  </w:num>
  <w:num w:numId="12">
    <w:abstractNumId w:val="14"/>
  </w:num>
  <w:num w:numId="13">
    <w:abstractNumId w:val="19"/>
  </w:num>
  <w:num w:numId="14">
    <w:abstractNumId w:val="12"/>
  </w:num>
  <w:num w:numId="15">
    <w:abstractNumId w:val="17"/>
  </w:num>
  <w:num w:numId="16">
    <w:abstractNumId w:val="3"/>
  </w:num>
  <w:num w:numId="17">
    <w:abstractNumId w:val="4"/>
  </w:num>
  <w:num w:numId="18">
    <w:abstractNumId w:val="8"/>
  </w:num>
  <w:num w:numId="19">
    <w:abstractNumId w:val="20"/>
  </w:num>
  <w:num w:numId="20">
    <w:abstractNumId w:val="10"/>
  </w:num>
  <w:num w:numId="21">
    <w:abstractNumId w:val="5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29AD"/>
    <w:rsid w:val="00196AA8"/>
    <w:rsid w:val="009137AE"/>
    <w:rsid w:val="00AE1FF9"/>
    <w:rsid w:val="00C73AAC"/>
    <w:rsid w:val="00EA29AD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Rubino, Mary C.</cp:lastModifiedBy>
  <cp:revision>2</cp:revision>
  <dcterms:created xsi:type="dcterms:W3CDTF">2015-07-08T14:04:00Z</dcterms:created>
  <dcterms:modified xsi:type="dcterms:W3CDTF">2015-07-08T14:04:00Z</dcterms:modified>
</cp:coreProperties>
</file>